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24DA" w14:textId="4059F383" w:rsidR="00284AE7" w:rsidRPr="005D21AF" w:rsidRDefault="00284AE7" w:rsidP="00284AE7">
      <w:pPr>
        <w:pStyle w:val="LGAItemNoHeading"/>
        <w:spacing w:before="120" w:after="12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sidR="00406E85">
        <w:rPr>
          <w:rFonts w:ascii="Arial" w:hAnsi="Arial" w:cs="Arial"/>
          <w:sz w:val="28"/>
          <w:szCs w:val="28"/>
        </w:rPr>
        <w:t xml:space="preserve">Board </w:t>
      </w:r>
      <w:r w:rsidRPr="005D21AF">
        <w:rPr>
          <w:rFonts w:ascii="Arial" w:hAnsi="Arial" w:cs="Arial"/>
          <w:sz w:val="28"/>
          <w:szCs w:val="28"/>
        </w:rPr>
        <w:t xml:space="preserve">– report from Cllr </w:t>
      </w:r>
      <w:r>
        <w:rPr>
          <w:rFonts w:ascii="Arial" w:hAnsi="Arial" w:cs="Arial"/>
          <w:sz w:val="28"/>
          <w:szCs w:val="28"/>
        </w:rPr>
        <w:t xml:space="preserve">Claire </w:t>
      </w:r>
      <w:proofErr w:type="spellStart"/>
      <w:r>
        <w:rPr>
          <w:rFonts w:ascii="Arial" w:hAnsi="Arial" w:cs="Arial"/>
          <w:sz w:val="28"/>
          <w:szCs w:val="28"/>
        </w:rPr>
        <w:t>Kober</w:t>
      </w:r>
      <w:proofErr w:type="spellEnd"/>
      <w:r w:rsidR="009F7920">
        <w:rPr>
          <w:rFonts w:ascii="Arial" w:hAnsi="Arial" w:cs="Arial"/>
          <w:sz w:val="28"/>
          <w:szCs w:val="28"/>
        </w:rPr>
        <w:t xml:space="preserve"> OBE</w:t>
      </w:r>
      <w:r>
        <w:rPr>
          <w:rFonts w:ascii="Arial" w:hAnsi="Arial" w:cs="Arial"/>
          <w:sz w:val="28"/>
          <w:szCs w:val="28"/>
        </w:rPr>
        <w:t xml:space="preserve"> (Chair)</w:t>
      </w:r>
    </w:p>
    <w:p w14:paraId="48B85320" w14:textId="77777777" w:rsidR="009900BF" w:rsidRPr="00490D8E" w:rsidRDefault="009900BF" w:rsidP="00C97AFA">
      <w:pPr>
        <w:spacing w:after="0" w:line="240" w:lineRule="auto"/>
        <w:rPr>
          <w:b/>
          <w:lang w:val="en-US"/>
        </w:rPr>
      </w:pPr>
    </w:p>
    <w:p w14:paraId="164E21A0" w14:textId="5245A29A" w:rsidR="00554E17" w:rsidRDefault="002A2ED6" w:rsidP="003A2E16">
      <w:pPr>
        <w:spacing w:after="0" w:line="240" w:lineRule="auto"/>
        <w:ind w:firstLine="360"/>
        <w:rPr>
          <w:b/>
        </w:rPr>
      </w:pPr>
      <w:r w:rsidRPr="009F7920">
        <w:rPr>
          <w:b/>
        </w:rPr>
        <w:t>Autumn Statement</w:t>
      </w:r>
    </w:p>
    <w:p w14:paraId="3C60E192" w14:textId="77777777" w:rsidR="00BF6F37" w:rsidRPr="009F7920" w:rsidRDefault="00BF6F37" w:rsidP="003A2E16">
      <w:pPr>
        <w:spacing w:after="0" w:line="240" w:lineRule="auto"/>
        <w:ind w:firstLine="360"/>
        <w:rPr>
          <w:b/>
        </w:rPr>
      </w:pPr>
    </w:p>
    <w:p w14:paraId="5D79F43B" w14:textId="7434613A" w:rsidR="002A2ED6" w:rsidRPr="009F7920" w:rsidRDefault="002A2ED6" w:rsidP="003A2E16">
      <w:pPr>
        <w:pStyle w:val="Default"/>
        <w:numPr>
          <w:ilvl w:val="0"/>
          <w:numId w:val="11"/>
        </w:numPr>
        <w:rPr>
          <w:sz w:val="22"/>
          <w:szCs w:val="22"/>
        </w:rPr>
      </w:pPr>
      <w:r w:rsidRPr="009F7920">
        <w:rPr>
          <w:sz w:val="22"/>
          <w:szCs w:val="22"/>
        </w:rPr>
        <w:t xml:space="preserve">The LGA </w:t>
      </w:r>
      <w:r w:rsidR="0023518E" w:rsidRPr="009F7920">
        <w:rPr>
          <w:sz w:val="22"/>
          <w:szCs w:val="22"/>
        </w:rPr>
        <w:t xml:space="preserve">published </w:t>
      </w:r>
      <w:r w:rsidRPr="009F7920">
        <w:rPr>
          <w:sz w:val="22"/>
          <w:szCs w:val="22"/>
        </w:rPr>
        <w:t xml:space="preserve">an </w:t>
      </w:r>
      <w:hyperlink r:id="rId11" w:history="1">
        <w:r w:rsidRPr="009F7920">
          <w:rPr>
            <w:rStyle w:val="Hyperlink"/>
            <w:sz w:val="22"/>
            <w:szCs w:val="22"/>
          </w:rPr>
          <w:t>on-the-day briefing</w:t>
        </w:r>
      </w:hyperlink>
      <w:r w:rsidR="00821F44">
        <w:rPr>
          <w:sz w:val="22"/>
          <w:szCs w:val="22"/>
        </w:rPr>
        <w:t xml:space="preserve"> on the key announcements in the Autumn Statement - announced by the Chancellor on 23 November - </w:t>
      </w:r>
      <w:r w:rsidRPr="009F7920">
        <w:rPr>
          <w:sz w:val="22"/>
          <w:szCs w:val="22"/>
        </w:rPr>
        <w:t xml:space="preserve">relevant to local government. The Resources Board also considered a report </w:t>
      </w:r>
      <w:r w:rsidR="000713E0">
        <w:rPr>
          <w:sz w:val="22"/>
          <w:szCs w:val="22"/>
        </w:rPr>
        <w:t xml:space="preserve">on its </w:t>
      </w:r>
      <w:r w:rsidRPr="009F7920">
        <w:rPr>
          <w:sz w:val="22"/>
          <w:szCs w:val="22"/>
        </w:rPr>
        <w:t xml:space="preserve">impact on local government finance. </w:t>
      </w:r>
    </w:p>
    <w:p w14:paraId="25F4DB27" w14:textId="77777777" w:rsidR="002A2ED6" w:rsidRPr="009F7920" w:rsidRDefault="002A2ED6" w:rsidP="003A2E16">
      <w:pPr>
        <w:pStyle w:val="Default"/>
        <w:ind w:left="720"/>
        <w:rPr>
          <w:sz w:val="22"/>
          <w:szCs w:val="22"/>
        </w:rPr>
      </w:pPr>
    </w:p>
    <w:p w14:paraId="1E1C4284" w14:textId="3C8328D8" w:rsidR="004F3379" w:rsidRPr="009F7920" w:rsidRDefault="002A2ED6" w:rsidP="003A2E16">
      <w:pPr>
        <w:pStyle w:val="Default"/>
        <w:numPr>
          <w:ilvl w:val="0"/>
          <w:numId w:val="11"/>
        </w:numPr>
        <w:rPr>
          <w:sz w:val="22"/>
          <w:szCs w:val="22"/>
        </w:rPr>
      </w:pPr>
      <w:r w:rsidRPr="009F7920">
        <w:rPr>
          <w:sz w:val="22"/>
          <w:szCs w:val="22"/>
        </w:rPr>
        <w:t xml:space="preserve">The Chancellor </w:t>
      </w:r>
      <w:r w:rsidR="004F3379" w:rsidRPr="009F7920">
        <w:rPr>
          <w:sz w:val="22"/>
          <w:szCs w:val="22"/>
        </w:rPr>
        <w:t>confirmed</w:t>
      </w:r>
      <w:r w:rsidRPr="009F7920">
        <w:rPr>
          <w:sz w:val="22"/>
          <w:szCs w:val="22"/>
        </w:rPr>
        <w:t xml:space="preserve"> the </w:t>
      </w:r>
      <w:r w:rsidR="004F3379" w:rsidRPr="009F7920">
        <w:rPr>
          <w:sz w:val="22"/>
          <w:szCs w:val="22"/>
        </w:rPr>
        <w:t xml:space="preserve">expenditure </w:t>
      </w:r>
      <w:r w:rsidRPr="009F7920">
        <w:rPr>
          <w:sz w:val="22"/>
          <w:szCs w:val="22"/>
        </w:rPr>
        <w:t xml:space="preserve">totals </w:t>
      </w:r>
      <w:r w:rsidR="0023518E" w:rsidRPr="009F7920">
        <w:rPr>
          <w:sz w:val="22"/>
          <w:szCs w:val="22"/>
        </w:rPr>
        <w:t>agreed</w:t>
      </w:r>
      <w:r w:rsidRPr="009F7920">
        <w:rPr>
          <w:sz w:val="22"/>
          <w:szCs w:val="22"/>
        </w:rPr>
        <w:t xml:space="preserve"> for local government</w:t>
      </w:r>
      <w:r w:rsidR="00FF5119">
        <w:rPr>
          <w:sz w:val="22"/>
          <w:szCs w:val="22"/>
        </w:rPr>
        <w:t>,</w:t>
      </w:r>
      <w:r w:rsidR="00DB1EB5">
        <w:rPr>
          <w:sz w:val="22"/>
          <w:szCs w:val="22"/>
        </w:rPr>
        <w:t xml:space="preserve"> </w:t>
      </w:r>
      <w:r w:rsidR="00FF5119">
        <w:rPr>
          <w:sz w:val="22"/>
          <w:szCs w:val="22"/>
        </w:rPr>
        <w:t>though</w:t>
      </w:r>
      <w:r w:rsidR="00DC5C78">
        <w:rPr>
          <w:sz w:val="22"/>
          <w:szCs w:val="22"/>
        </w:rPr>
        <w:t xml:space="preserve"> </w:t>
      </w:r>
      <w:r w:rsidR="00314782" w:rsidRPr="009F7920">
        <w:rPr>
          <w:sz w:val="22"/>
          <w:szCs w:val="22"/>
        </w:rPr>
        <w:t>there were no announcements of new funding for local government.</w:t>
      </w:r>
      <w:r w:rsidR="004F3379" w:rsidRPr="009F7920">
        <w:rPr>
          <w:sz w:val="22"/>
          <w:szCs w:val="22"/>
        </w:rPr>
        <w:t xml:space="preserve"> The Government reaffirmed its commitment to identify a further £3.5 billion of savings from public spending in 2019/20 following an Efficiency Review. Up to £1 billion of these savings will be reinvested in priority areas. The Efficiency Review will report on progress in autumn 2017</w:t>
      </w:r>
      <w:r w:rsidR="00480880" w:rsidRPr="009F7920">
        <w:rPr>
          <w:sz w:val="22"/>
          <w:szCs w:val="22"/>
        </w:rPr>
        <w:t>.</w:t>
      </w:r>
    </w:p>
    <w:p w14:paraId="1685974D" w14:textId="77777777" w:rsidR="004F3379" w:rsidRPr="009F7920" w:rsidRDefault="004F3379" w:rsidP="003A2E16">
      <w:pPr>
        <w:pStyle w:val="Default"/>
        <w:rPr>
          <w:sz w:val="22"/>
          <w:szCs w:val="22"/>
        </w:rPr>
      </w:pPr>
    </w:p>
    <w:p w14:paraId="4B86A692" w14:textId="63091B15" w:rsidR="00DB48E4" w:rsidRPr="009F7920" w:rsidRDefault="00DB48E4" w:rsidP="003A2E16">
      <w:pPr>
        <w:pStyle w:val="Default"/>
        <w:numPr>
          <w:ilvl w:val="0"/>
          <w:numId w:val="11"/>
        </w:numPr>
        <w:rPr>
          <w:color w:val="auto"/>
          <w:sz w:val="22"/>
          <w:szCs w:val="22"/>
        </w:rPr>
      </w:pPr>
      <w:r w:rsidRPr="009F7920">
        <w:rPr>
          <w:sz w:val="22"/>
          <w:szCs w:val="22"/>
        </w:rPr>
        <w:t>T</w:t>
      </w:r>
      <w:r w:rsidR="00E45A3C" w:rsidRPr="009F7920">
        <w:rPr>
          <w:sz w:val="22"/>
          <w:szCs w:val="22"/>
        </w:rPr>
        <w:t xml:space="preserve">he Chancellor announced </w:t>
      </w:r>
      <w:r w:rsidRPr="009F7920">
        <w:rPr>
          <w:color w:val="auto"/>
          <w:sz w:val="22"/>
          <w:szCs w:val="22"/>
        </w:rPr>
        <w:t>a new 100 per cent five-year business rates relief for new full-fibre broadband infrastructure and a permanent doubling of Rural Rate Relief to 100 per cent, both from April 2017. We expect th</w:t>
      </w:r>
      <w:r w:rsidR="00314782" w:rsidRPr="009F7920">
        <w:rPr>
          <w:color w:val="auto"/>
          <w:sz w:val="22"/>
          <w:szCs w:val="22"/>
        </w:rPr>
        <w:t>at</w:t>
      </w:r>
      <w:r w:rsidRPr="009F7920">
        <w:rPr>
          <w:color w:val="auto"/>
          <w:sz w:val="22"/>
          <w:szCs w:val="22"/>
        </w:rPr>
        <w:t xml:space="preserve"> local authorities </w:t>
      </w:r>
      <w:r w:rsidR="00314782" w:rsidRPr="009F7920">
        <w:rPr>
          <w:color w:val="auto"/>
          <w:sz w:val="22"/>
          <w:szCs w:val="22"/>
        </w:rPr>
        <w:t>will</w:t>
      </w:r>
      <w:r w:rsidRPr="009F7920">
        <w:rPr>
          <w:color w:val="auto"/>
          <w:sz w:val="22"/>
          <w:szCs w:val="22"/>
        </w:rPr>
        <w:t xml:space="preserve"> be compensated by grant and for this to be taken into account as part of the reforms for increased business rates retention.</w:t>
      </w:r>
    </w:p>
    <w:p w14:paraId="2E3FD0B0" w14:textId="77777777" w:rsidR="00554E17" w:rsidRPr="009F7920" w:rsidRDefault="00554E17" w:rsidP="003A2E16">
      <w:pPr>
        <w:spacing w:after="0" w:line="240" w:lineRule="auto"/>
        <w:rPr>
          <w:b/>
          <w:bCs/>
        </w:rPr>
      </w:pPr>
    </w:p>
    <w:p w14:paraId="1162276B" w14:textId="376373F7" w:rsidR="003C72F8" w:rsidRDefault="00915DBB" w:rsidP="003A2E16">
      <w:pPr>
        <w:spacing w:after="0" w:line="240" w:lineRule="auto"/>
        <w:ind w:firstLine="360"/>
        <w:rPr>
          <w:b/>
          <w:bCs/>
        </w:rPr>
      </w:pPr>
      <w:r w:rsidRPr="009F7920">
        <w:rPr>
          <w:b/>
          <w:bCs/>
        </w:rPr>
        <w:t xml:space="preserve">Local </w:t>
      </w:r>
      <w:r w:rsidR="002A2ED6" w:rsidRPr="009F7920">
        <w:rPr>
          <w:b/>
          <w:bCs/>
        </w:rPr>
        <w:t>Government Finance Settlement</w:t>
      </w:r>
    </w:p>
    <w:p w14:paraId="3C62EDB0" w14:textId="77777777" w:rsidR="00BF6F37" w:rsidRPr="009F7920" w:rsidRDefault="00BF6F37" w:rsidP="003A2E16">
      <w:pPr>
        <w:spacing w:after="0" w:line="240" w:lineRule="auto"/>
        <w:ind w:firstLine="360"/>
        <w:rPr>
          <w:b/>
          <w:bCs/>
        </w:rPr>
      </w:pPr>
    </w:p>
    <w:p w14:paraId="6E94E777" w14:textId="1C41F0EB" w:rsidR="00746DEE" w:rsidRPr="00003574" w:rsidRDefault="008A3EAE" w:rsidP="00003574">
      <w:pPr>
        <w:pStyle w:val="Default"/>
        <w:numPr>
          <w:ilvl w:val="0"/>
          <w:numId w:val="11"/>
        </w:numPr>
        <w:rPr>
          <w:rFonts w:eastAsia="Times New Roman"/>
          <w:sz w:val="22"/>
          <w:szCs w:val="22"/>
        </w:rPr>
      </w:pPr>
      <w:r w:rsidRPr="009F7920">
        <w:rPr>
          <w:color w:val="auto"/>
          <w:sz w:val="22"/>
          <w:szCs w:val="22"/>
        </w:rPr>
        <w:t xml:space="preserve">The </w:t>
      </w:r>
      <w:hyperlink r:id="rId12" w:history="1">
        <w:r w:rsidR="00746DEE" w:rsidRPr="009F7920">
          <w:rPr>
            <w:rStyle w:val="Hyperlink"/>
            <w:sz w:val="22"/>
            <w:szCs w:val="22"/>
          </w:rPr>
          <w:t>provisional</w:t>
        </w:r>
        <w:r w:rsidRPr="009F7920">
          <w:rPr>
            <w:rStyle w:val="Hyperlink"/>
            <w:sz w:val="22"/>
            <w:szCs w:val="22"/>
          </w:rPr>
          <w:t xml:space="preserve"> </w:t>
        </w:r>
        <w:r w:rsidR="00746DEE" w:rsidRPr="009F7920">
          <w:rPr>
            <w:rStyle w:val="Hyperlink"/>
            <w:sz w:val="22"/>
            <w:szCs w:val="22"/>
          </w:rPr>
          <w:t>local</w:t>
        </w:r>
        <w:r w:rsidRPr="009F7920">
          <w:rPr>
            <w:rStyle w:val="Hyperlink"/>
            <w:sz w:val="22"/>
            <w:szCs w:val="22"/>
          </w:rPr>
          <w:t xml:space="preserve"> government finance settlement</w:t>
        </w:r>
      </w:hyperlink>
      <w:r w:rsidRPr="009F7920">
        <w:rPr>
          <w:color w:val="auto"/>
          <w:sz w:val="22"/>
          <w:szCs w:val="22"/>
        </w:rPr>
        <w:t xml:space="preserve"> for 2017-18 was announced </w:t>
      </w:r>
      <w:r w:rsidRPr="00FF5119">
        <w:rPr>
          <w:color w:val="auto"/>
          <w:sz w:val="22"/>
          <w:szCs w:val="22"/>
        </w:rPr>
        <w:t xml:space="preserve">by </w:t>
      </w:r>
      <w:r w:rsidR="00F52C53" w:rsidRPr="00FF5119">
        <w:rPr>
          <w:color w:val="auto"/>
          <w:sz w:val="22"/>
          <w:szCs w:val="22"/>
        </w:rPr>
        <w:t>the Secretary of State for Communities and Local Government</w:t>
      </w:r>
      <w:r w:rsidR="00F52C53" w:rsidRPr="009F7920">
        <w:rPr>
          <w:color w:val="auto"/>
          <w:sz w:val="22"/>
          <w:szCs w:val="22"/>
        </w:rPr>
        <w:t xml:space="preserve">, </w:t>
      </w:r>
      <w:proofErr w:type="spellStart"/>
      <w:r w:rsidR="00F52C53" w:rsidRPr="009F7920">
        <w:rPr>
          <w:color w:val="auto"/>
          <w:sz w:val="22"/>
          <w:szCs w:val="22"/>
        </w:rPr>
        <w:t>Sajid</w:t>
      </w:r>
      <w:proofErr w:type="spellEnd"/>
      <w:r w:rsidR="00F52C53" w:rsidRPr="009F7920">
        <w:rPr>
          <w:color w:val="auto"/>
          <w:sz w:val="22"/>
          <w:szCs w:val="22"/>
        </w:rPr>
        <w:t xml:space="preserve"> </w:t>
      </w:r>
      <w:proofErr w:type="spellStart"/>
      <w:r w:rsidR="00F52C53" w:rsidRPr="009F7920">
        <w:rPr>
          <w:color w:val="auto"/>
          <w:sz w:val="22"/>
          <w:szCs w:val="22"/>
        </w:rPr>
        <w:t>Javid</w:t>
      </w:r>
      <w:proofErr w:type="spellEnd"/>
      <w:r w:rsidR="00F52C53" w:rsidRPr="009F7920">
        <w:rPr>
          <w:color w:val="auto"/>
          <w:sz w:val="22"/>
          <w:szCs w:val="22"/>
        </w:rPr>
        <w:t xml:space="preserve"> MP, on</w:t>
      </w:r>
      <w:r w:rsidRPr="009F7920">
        <w:rPr>
          <w:color w:val="auto"/>
          <w:sz w:val="22"/>
          <w:szCs w:val="22"/>
        </w:rPr>
        <w:t xml:space="preserve"> </w:t>
      </w:r>
      <w:r w:rsidR="00F52C53" w:rsidRPr="009F7920">
        <w:rPr>
          <w:color w:val="auto"/>
          <w:sz w:val="22"/>
          <w:szCs w:val="22"/>
        </w:rPr>
        <w:t>15</w:t>
      </w:r>
      <w:r w:rsidR="00746DEE" w:rsidRPr="009F7920">
        <w:rPr>
          <w:color w:val="auto"/>
          <w:sz w:val="22"/>
          <w:szCs w:val="22"/>
        </w:rPr>
        <w:t xml:space="preserve"> </w:t>
      </w:r>
      <w:r w:rsidRPr="009F7920">
        <w:rPr>
          <w:color w:val="auto"/>
          <w:sz w:val="22"/>
          <w:szCs w:val="22"/>
        </w:rPr>
        <w:t>December 2016.</w:t>
      </w:r>
      <w:r w:rsidR="00831A74" w:rsidRPr="009F7920">
        <w:rPr>
          <w:rFonts w:eastAsia="Times New Roman"/>
          <w:sz w:val="22"/>
          <w:szCs w:val="22"/>
          <w:lang w:eastAsia="en-GB"/>
        </w:rPr>
        <w:t xml:space="preserve"> The LGA responded in a </w:t>
      </w:r>
      <w:hyperlink r:id="rId13" w:history="1">
        <w:r w:rsidR="00831A74" w:rsidRPr="009F7920">
          <w:rPr>
            <w:rStyle w:val="Hyperlink"/>
            <w:rFonts w:eastAsia="Times New Roman"/>
            <w:sz w:val="22"/>
            <w:szCs w:val="22"/>
            <w:lang w:eastAsia="en-GB"/>
          </w:rPr>
          <w:t>press release</w:t>
        </w:r>
      </w:hyperlink>
      <w:r w:rsidR="00831A74" w:rsidRPr="009F7920">
        <w:rPr>
          <w:rFonts w:eastAsia="Times New Roman"/>
          <w:sz w:val="22"/>
          <w:szCs w:val="22"/>
          <w:lang w:eastAsia="en-GB"/>
        </w:rPr>
        <w:t xml:space="preserve"> and published an </w:t>
      </w:r>
      <w:hyperlink r:id="rId14" w:history="1">
        <w:r w:rsidR="00831A74" w:rsidRPr="009F7920">
          <w:rPr>
            <w:rStyle w:val="Hyperlink"/>
            <w:rFonts w:eastAsia="Times New Roman"/>
            <w:sz w:val="22"/>
            <w:szCs w:val="22"/>
            <w:lang w:eastAsia="en-GB"/>
          </w:rPr>
          <w:t>on-the-day briefing</w:t>
        </w:r>
      </w:hyperlink>
      <w:r w:rsidR="00831A74" w:rsidRPr="009F7920">
        <w:rPr>
          <w:rFonts w:eastAsia="Times New Roman"/>
          <w:sz w:val="22"/>
          <w:szCs w:val="22"/>
          <w:lang w:eastAsia="en-GB"/>
        </w:rPr>
        <w:t>.</w:t>
      </w:r>
      <w:r w:rsidR="00E67B1A" w:rsidRPr="009F7920">
        <w:rPr>
          <w:rFonts w:eastAsia="Times New Roman"/>
          <w:sz w:val="22"/>
          <w:szCs w:val="22"/>
          <w:lang w:eastAsia="en-GB"/>
        </w:rPr>
        <w:t xml:space="preserve"> </w:t>
      </w:r>
      <w:r w:rsidR="00003574" w:rsidRPr="009F7920">
        <w:rPr>
          <w:rFonts w:eastAsia="Times New Roman"/>
          <w:sz w:val="22"/>
          <w:szCs w:val="22"/>
        </w:rPr>
        <w:t>The final settlement is expected to be announced in early 2017.</w:t>
      </w:r>
    </w:p>
    <w:p w14:paraId="241DA5D7" w14:textId="77777777" w:rsidR="00831A74" w:rsidRPr="009F7920" w:rsidRDefault="00831A74" w:rsidP="003A2E16">
      <w:pPr>
        <w:pStyle w:val="Default"/>
        <w:ind w:left="720"/>
        <w:rPr>
          <w:color w:val="auto"/>
          <w:sz w:val="22"/>
          <w:szCs w:val="22"/>
        </w:rPr>
      </w:pPr>
    </w:p>
    <w:p w14:paraId="3FC183E6" w14:textId="6C811D17" w:rsidR="00831A74" w:rsidRPr="009F7920" w:rsidRDefault="00831A74" w:rsidP="003A2E16">
      <w:pPr>
        <w:pStyle w:val="Default"/>
        <w:numPr>
          <w:ilvl w:val="0"/>
          <w:numId w:val="11"/>
        </w:numPr>
        <w:rPr>
          <w:color w:val="auto"/>
          <w:sz w:val="22"/>
          <w:szCs w:val="22"/>
        </w:rPr>
      </w:pPr>
      <w:r w:rsidRPr="009F7920">
        <w:rPr>
          <w:rFonts w:eastAsia="Times New Roman"/>
          <w:sz w:val="22"/>
          <w:szCs w:val="22"/>
        </w:rPr>
        <w:t xml:space="preserve">The </w:t>
      </w:r>
      <w:r w:rsidR="00C166DD" w:rsidRPr="009F7920">
        <w:rPr>
          <w:rFonts w:eastAsia="Times New Roman"/>
          <w:sz w:val="22"/>
          <w:szCs w:val="22"/>
        </w:rPr>
        <w:t xml:space="preserve">Government </w:t>
      </w:r>
      <w:r w:rsidRPr="009F7920">
        <w:rPr>
          <w:rFonts w:eastAsia="Times New Roman"/>
          <w:sz w:val="22"/>
          <w:szCs w:val="22"/>
        </w:rPr>
        <w:t>did not announce any extra funding for local government. However</w:t>
      </w:r>
      <w:r w:rsidR="006B772D" w:rsidRPr="009F7920">
        <w:rPr>
          <w:rFonts w:eastAsia="Times New Roman"/>
          <w:sz w:val="22"/>
          <w:szCs w:val="22"/>
        </w:rPr>
        <w:t xml:space="preserve">, </w:t>
      </w:r>
      <w:r w:rsidR="006B772D" w:rsidRPr="009F7920">
        <w:rPr>
          <w:sz w:val="22"/>
          <w:szCs w:val="22"/>
        </w:rPr>
        <w:t>councils</w:t>
      </w:r>
      <w:r w:rsidR="00C166DD" w:rsidRPr="009F7920">
        <w:rPr>
          <w:sz w:val="22"/>
          <w:szCs w:val="22"/>
        </w:rPr>
        <w:t xml:space="preserve"> have been given flexibility to increase the adult social care precept by up to 3 per cent per year in 2017/18 and 2018/19, as long as the overall increase over three-year period to 2019/20 remains limited to 6 per cent</w:t>
      </w:r>
      <w:r w:rsidR="00314782" w:rsidRPr="009F7920">
        <w:rPr>
          <w:color w:val="auto"/>
          <w:sz w:val="22"/>
          <w:szCs w:val="22"/>
        </w:rPr>
        <w:t xml:space="preserve">. </w:t>
      </w:r>
    </w:p>
    <w:p w14:paraId="00BCE79E" w14:textId="77777777" w:rsidR="00831A74" w:rsidRPr="009F7920" w:rsidRDefault="00831A74" w:rsidP="003A2E16">
      <w:pPr>
        <w:pStyle w:val="Default"/>
        <w:ind w:left="720"/>
        <w:rPr>
          <w:color w:val="auto"/>
          <w:sz w:val="22"/>
          <w:szCs w:val="22"/>
        </w:rPr>
      </w:pPr>
    </w:p>
    <w:p w14:paraId="7F990B6B" w14:textId="5F36BF42" w:rsidR="00E67B1A" w:rsidRPr="009F7920" w:rsidRDefault="00E67B1A" w:rsidP="003A2E16">
      <w:pPr>
        <w:pStyle w:val="Default"/>
        <w:numPr>
          <w:ilvl w:val="0"/>
          <w:numId w:val="11"/>
        </w:numPr>
        <w:rPr>
          <w:rFonts w:eastAsia="Times New Roman"/>
          <w:sz w:val="22"/>
          <w:szCs w:val="22"/>
        </w:rPr>
      </w:pPr>
      <w:r w:rsidRPr="009F7920">
        <w:rPr>
          <w:color w:val="auto"/>
          <w:sz w:val="22"/>
          <w:szCs w:val="22"/>
        </w:rPr>
        <w:t xml:space="preserve">The Government </w:t>
      </w:r>
      <w:r w:rsidR="00AB6E41" w:rsidRPr="009F7920">
        <w:rPr>
          <w:color w:val="auto"/>
          <w:sz w:val="22"/>
          <w:szCs w:val="22"/>
        </w:rPr>
        <w:t xml:space="preserve">also </w:t>
      </w:r>
      <w:r w:rsidRPr="009F7920">
        <w:rPr>
          <w:color w:val="auto"/>
          <w:sz w:val="22"/>
          <w:szCs w:val="22"/>
        </w:rPr>
        <w:t>confirmed the council tax referendum threshold for ‘basic’ council tax increases (excluding the adult social care precept) would remain at 2 per cent, with additional flexibility for district council</w:t>
      </w:r>
      <w:r w:rsidR="004C0406" w:rsidRPr="009F7920">
        <w:rPr>
          <w:color w:val="auto"/>
          <w:sz w:val="22"/>
          <w:szCs w:val="22"/>
        </w:rPr>
        <w:t>s</w:t>
      </w:r>
      <w:r w:rsidR="00C166DD" w:rsidRPr="009F7920">
        <w:rPr>
          <w:color w:val="auto"/>
          <w:sz w:val="22"/>
          <w:szCs w:val="22"/>
        </w:rPr>
        <w:t>,</w:t>
      </w:r>
      <w:r w:rsidRPr="009F7920">
        <w:rPr>
          <w:color w:val="auto"/>
          <w:sz w:val="22"/>
          <w:szCs w:val="22"/>
        </w:rPr>
        <w:t xml:space="preserve"> and Police and Crime Commissioners</w:t>
      </w:r>
      <w:r w:rsidR="00480880" w:rsidRPr="009F7920">
        <w:rPr>
          <w:color w:val="auto"/>
          <w:sz w:val="22"/>
          <w:szCs w:val="22"/>
        </w:rPr>
        <w:t>,</w:t>
      </w:r>
      <w:r w:rsidRPr="009F7920">
        <w:rPr>
          <w:color w:val="auto"/>
          <w:sz w:val="22"/>
          <w:szCs w:val="22"/>
        </w:rPr>
        <w:t xml:space="preserve"> with the lowest council tax levels.</w:t>
      </w:r>
      <w:r w:rsidR="00DB48E4" w:rsidRPr="009F7920">
        <w:rPr>
          <w:color w:val="auto"/>
          <w:sz w:val="22"/>
          <w:szCs w:val="22"/>
        </w:rPr>
        <w:t xml:space="preserve"> The Gove</w:t>
      </w:r>
      <w:r w:rsidR="00DB48E4" w:rsidRPr="009F7920">
        <w:rPr>
          <w:rFonts w:eastAsia="Times New Roman"/>
          <w:sz w:val="22"/>
          <w:szCs w:val="22"/>
        </w:rPr>
        <w:t>rnment will not set referendum principles for town and parish councils</w:t>
      </w:r>
      <w:r w:rsidR="006B772D" w:rsidRPr="009F7920">
        <w:rPr>
          <w:rFonts w:eastAsia="Times New Roman"/>
          <w:sz w:val="22"/>
          <w:szCs w:val="22"/>
        </w:rPr>
        <w:t>,</w:t>
      </w:r>
      <w:r w:rsidR="00DB48E4" w:rsidRPr="009F7920">
        <w:rPr>
          <w:rFonts w:eastAsia="Times New Roman"/>
          <w:sz w:val="22"/>
          <w:szCs w:val="22"/>
        </w:rPr>
        <w:t xml:space="preserve"> but will keep the issue under review.</w:t>
      </w:r>
    </w:p>
    <w:p w14:paraId="24297EDD" w14:textId="77777777" w:rsidR="00E67B1A" w:rsidRPr="009F7920" w:rsidRDefault="00E67B1A" w:rsidP="003A2E16">
      <w:pPr>
        <w:pStyle w:val="ListParagraph"/>
        <w:rPr>
          <w:rFonts w:ascii="Arial" w:eastAsia="Times New Roman" w:hAnsi="Arial" w:cs="Arial"/>
          <w:sz w:val="22"/>
          <w:szCs w:val="22"/>
        </w:rPr>
      </w:pPr>
    </w:p>
    <w:p w14:paraId="43C75C00" w14:textId="4F50975C" w:rsidR="00E67B1A" w:rsidRPr="009F7920" w:rsidRDefault="00831A74" w:rsidP="003A2E16">
      <w:pPr>
        <w:pStyle w:val="Default"/>
        <w:numPr>
          <w:ilvl w:val="0"/>
          <w:numId w:val="11"/>
        </w:numPr>
        <w:rPr>
          <w:rFonts w:eastAsia="Times New Roman"/>
          <w:sz w:val="22"/>
          <w:szCs w:val="22"/>
        </w:rPr>
      </w:pPr>
      <w:r w:rsidRPr="009F7920">
        <w:rPr>
          <w:rFonts w:eastAsia="Times New Roman"/>
          <w:sz w:val="22"/>
          <w:szCs w:val="22"/>
        </w:rPr>
        <w:t xml:space="preserve">Savings of £241 million from the reform of the New Homes Bonus </w:t>
      </w:r>
      <w:r w:rsidR="00E67B1A" w:rsidRPr="009F7920">
        <w:rPr>
          <w:rFonts w:eastAsia="Times New Roman"/>
          <w:sz w:val="22"/>
          <w:szCs w:val="22"/>
        </w:rPr>
        <w:t xml:space="preserve">will be </w:t>
      </w:r>
      <w:r w:rsidRPr="009F7920">
        <w:rPr>
          <w:rFonts w:eastAsia="Times New Roman"/>
          <w:sz w:val="22"/>
          <w:szCs w:val="22"/>
        </w:rPr>
        <w:t>allocated to social care authorities through a new Adult Social Care Support Grant for 2017/18 only.</w:t>
      </w:r>
      <w:r w:rsidR="00E67B1A" w:rsidRPr="009F7920">
        <w:rPr>
          <w:rFonts w:eastAsia="Times New Roman"/>
          <w:sz w:val="22"/>
          <w:szCs w:val="22"/>
        </w:rPr>
        <w:t xml:space="preserve"> </w:t>
      </w:r>
      <w:r w:rsidR="00AB6E41" w:rsidRPr="009F7920">
        <w:rPr>
          <w:rFonts w:eastAsia="Times New Roman"/>
          <w:sz w:val="22"/>
          <w:szCs w:val="22"/>
        </w:rPr>
        <w:t xml:space="preserve">Other changes were made to </w:t>
      </w:r>
      <w:r w:rsidR="00E67B1A" w:rsidRPr="009F7920">
        <w:rPr>
          <w:rFonts w:eastAsia="Times New Roman"/>
          <w:sz w:val="22"/>
          <w:szCs w:val="22"/>
        </w:rPr>
        <w:t xml:space="preserve">the </w:t>
      </w:r>
      <w:r w:rsidR="00AB6E41" w:rsidRPr="009F7920">
        <w:rPr>
          <w:rFonts w:eastAsia="Times New Roman"/>
          <w:sz w:val="22"/>
          <w:szCs w:val="22"/>
        </w:rPr>
        <w:t xml:space="preserve">New Homes </w:t>
      </w:r>
      <w:r w:rsidR="00E67B1A" w:rsidRPr="009F7920">
        <w:rPr>
          <w:rFonts w:eastAsia="Times New Roman"/>
          <w:sz w:val="22"/>
          <w:szCs w:val="22"/>
        </w:rPr>
        <w:t xml:space="preserve">Bonus </w:t>
      </w:r>
      <w:r w:rsidR="00AB6E41" w:rsidRPr="009F7920">
        <w:rPr>
          <w:rFonts w:eastAsia="Times New Roman"/>
          <w:sz w:val="22"/>
          <w:szCs w:val="22"/>
        </w:rPr>
        <w:t xml:space="preserve">reducing the number of years </w:t>
      </w:r>
      <w:r w:rsidR="008E4501">
        <w:rPr>
          <w:rFonts w:eastAsia="Times New Roman"/>
          <w:sz w:val="22"/>
          <w:szCs w:val="22"/>
        </w:rPr>
        <w:t xml:space="preserve">it </w:t>
      </w:r>
      <w:r w:rsidR="00E67B1A" w:rsidRPr="009F7920">
        <w:rPr>
          <w:rFonts w:eastAsia="Times New Roman"/>
          <w:sz w:val="22"/>
          <w:szCs w:val="22"/>
        </w:rPr>
        <w:t xml:space="preserve">is paid for </w:t>
      </w:r>
      <w:r w:rsidR="00AB6E41" w:rsidRPr="009F7920">
        <w:rPr>
          <w:rFonts w:eastAsia="Times New Roman"/>
          <w:sz w:val="22"/>
          <w:szCs w:val="22"/>
        </w:rPr>
        <w:t xml:space="preserve">and introducing a threshold of housing growing to be achieved before the grant will be </w:t>
      </w:r>
      <w:r w:rsidR="00480880" w:rsidRPr="009F7920">
        <w:rPr>
          <w:rFonts w:eastAsia="Times New Roman"/>
          <w:sz w:val="22"/>
          <w:szCs w:val="22"/>
        </w:rPr>
        <w:t>paid.</w:t>
      </w:r>
    </w:p>
    <w:p w14:paraId="604732D7" w14:textId="77777777" w:rsidR="00E67B1A" w:rsidRPr="009F7920" w:rsidRDefault="00E67B1A" w:rsidP="003A2E16">
      <w:pPr>
        <w:pStyle w:val="ListParagraph"/>
        <w:rPr>
          <w:rFonts w:ascii="Arial" w:eastAsia="Times New Roman" w:hAnsi="Arial" w:cs="Arial"/>
          <w:sz w:val="22"/>
          <w:szCs w:val="22"/>
        </w:rPr>
      </w:pPr>
    </w:p>
    <w:p w14:paraId="785ED791" w14:textId="17A6C5D6" w:rsidR="00F7073E" w:rsidRPr="009F7920" w:rsidRDefault="00F7073E" w:rsidP="003A2E16">
      <w:pPr>
        <w:pStyle w:val="Default"/>
        <w:numPr>
          <w:ilvl w:val="0"/>
          <w:numId w:val="11"/>
        </w:numPr>
        <w:rPr>
          <w:rFonts w:eastAsia="Times New Roman"/>
          <w:sz w:val="22"/>
          <w:szCs w:val="22"/>
        </w:rPr>
      </w:pPr>
      <w:r w:rsidRPr="009F7920">
        <w:rPr>
          <w:rFonts w:eastAsia="Times New Roman"/>
          <w:sz w:val="22"/>
          <w:szCs w:val="22"/>
        </w:rPr>
        <w:t xml:space="preserve">The provisional settlement also set out the Government’s proposed approach to the issues it consulted on in the technical consultation, </w:t>
      </w:r>
      <w:r w:rsidR="00003574">
        <w:rPr>
          <w:rFonts w:eastAsia="Times New Roman"/>
          <w:sz w:val="22"/>
          <w:szCs w:val="22"/>
        </w:rPr>
        <w:t xml:space="preserve">which closed in October 2016.  </w:t>
      </w:r>
      <w:r w:rsidRPr="009F7920">
        <w:rPr>
          <w:rFonts w:eastAsia="Times New Roman"/>
          <w:sz w:val="22"/>
          <w:szCs w:val="22"/>
        </w:rPr>
        <w:t xml:space="preserve">The LGA </w:t>
      </w:r>
      <w:hyperlink r:id="rId15" w:history="1">
        <w:r w:rsidRPr="009F7920">
          <w:rPr>
            <w:rStyle w:val="Hyperlink"/>
            <w:rFonts w:eastAsia="Times New Roman"/>
            <w:sz w:val="22"/>
            <w:szCs w:val="22"/>
          </w:rPr>
          <w:t>responded</w:t>
        </w:r>
      </w:hyperlink>
      <w:r w:rsidRPr="009F7920">
        <w:rPr>
          <w:rFonts w:eastAsia="Times New Roman"/>
          <w:sz w:val="22"/>
          <w:szCs w:val="22"/>
        </w:rPr>
        <w:t xml:space="preserve"> to the technical consultation and the Government has published a </w:t>
      </w:r>
      <w:hyperlink r:id="rId16" w:history="1">
        <w:r w:rsidRPr="009F7920">
          <w:rPr>
            <w:rStyle w:val="Hyperlink"/>
            <w:rFonts w:eastAsia="Times New Roman"/>
            <w:sz w:val="22"/>
            <w:szCs w:val="22"/>
          </w:rPr>
          <w:t>summary of responses</w:t>
        </w:r>
      </w:hyperlink>
      <w:r w:rsidRPr="009F7920">
        <w:rPr>
          <w:rFonts w:eastAsia="Times New Roman"/>
          <w:sz w:val="22"/>
          <w:szCs w:val="22"/>
        </w:rPr>
        <w:t xml:space="preserve">. </w:t>
      </w:r>
    </w:p>
    <w:p w14:paraId="564BF620" w14:textId="33E98D90" w:rsidR="00915DBB" w:rsidRPr="009F7920" w:rsidRDefault="00915DBB" w:rsidP="003A2E16">
      <w:pPr>
        <w:pStyle w:val="Default"/>
        <w:rPr>
          <w:color w:val="auto"/>
          <w:sz w:val="22"/>
          <w:szCs w:val="22"/>
        </w:rPr>
      </w:pPr>
    </w:p>
    <w:p w14:paraId="6A615AE9" w14:textId="18F9077D" w:rsidR="00E65C23" w:rsidRDefault="002A2ED6" w:rsidP="003A2E16">
      <w:pPr>
        <w:pStyle w:val="Default"/>
        <w:ind w:firstLine="360"/>
        <w:rPr>
          <w:b/>
          <w:color w:val="auto"/>
          <w:sz w:val="22"/>
          <w:szCs w:val="22"/>
        </w:rPr>
      </w:pPr>
      <w:r w:rsidRPr="009F7920">
        <w:rPr>
          <w:b/>
          <w:color w:val="auto"/>
          <w:sz w:val="22"/>
          <w:szCs w:val="22"/>
        </w:rPr>
        <w:t>Business Rates Retention</w:t>
      </w:r>
    </w:p>
    <w:p w14:paraId="36EFEF2D" w14:textId="77777777" w:rsidR="00BF6F37" w:rsidRPr="009F7920" w:rsidRDefault="00BF6F37" w:rsidP="003A2E16">
      <w:pPr>
        <w:pStyle w:val="Default"/>
        <w:ind w:firstLine="360"/>
        <w:rPr>
          <w:b/>
          <w:color w:val="auto"/>
          <w:sz w:val="22"/>
          <w:szCs w:val="22"/>
        </w:rPr>
      </w:pPr>
    </w:p>
    <w:p w14:paraId="025B7396" w14:textId="1E17B5CB" w:rsidR="007334F3" w:rsidRDefault="00DB48E4" w:rsidP="003A2E16">
      <w:pPr>
        <w:pStyle w:val="Default"/>
        <w:numPr>
          <w:ilvl w:val="0"/>
          <w:numId w:val="11"/>
        </w:numPr>
        <w:rPr>
          <w:color w:val="auto"/>
          <w:sz w:val="22"/>
          <w:szCs w:val="22"/>
        </w:rPr>
      </w:pPr>
      <w:r w:rsidRPr="00DC5C78">
        <w:rPr>
          <w:color w:val="auto"/>
          <w:sz w:val="22"/>
          <w:szCs w:val="22"/>
        </w:rPr>
        <w:t xml:space="preserve">The provisional settlement </w:t>
      </w:r>
      <w:r w:rsidR="00A511B2" w:rsidRPr="00DC5C78">
        <w:rPr>
          <w:color w:val="auto"/>
          <w:sz w:val="22"/>
          <w:szCs w:val="22"/>
        </w:rPr>
        <w:t>confirmed</w:t>
      </w:r>
      <w:r w:rsidRPr="00DC5C78">
        <w:rPr>
          <w:color w:val="auto"/>
          <w:sz w:val="22"/>
          <w:szCs w:val="22"/>
        </w:rPr>
        <w:t xml:space="preserve"> that </w:t>
      </w:r>
      <w:r w:rsidR="00802516" w:rsidRPr="00DC5C78">
        <w:rPr>
          <w:color w:val="auto"/>
          <w:sz w:val="22"/>
          <w:szCs w:val="22"/>
        </w:rPr>
        <w:t>pilots for further business rates retention wi</w:t>
      </w:r>
      <w:r w:rsidR="00480880" w:rsidRPr="00DC5C78">
        <w:rPr>
          <w:color w:val="auto"/>
          <w:sz w:val="22"/>
          <w:szCs w:val="22"/>
        </w:rPr>
        <w:t>ll begin in six areas from 2017/</w:t>
      </w:r>
      <w:r w:rsidR="00802516" w:rsidRPr="00DC5C78">
        <w:rPr>
          <w:color w:val="auto"/>
          <w:sz w:val="22"/>
          <w:szCs w:val="22"/>
        </w:rPr>
        <w:t>18</w:t>
      </w:r>
      <w:r w:rsidR="008C17EE" w:rsidRPr="00DC5C78">
        <w:rPr>
          <w:color w:val="auto"/>
          <w:sz w:val="22"/>
          <w:szCs w:val="22"/>
        </w:rPr>
        <w:t>.</w:t>
      </w:r>
      <w:r w:rsidR="00802516" w:rsidRPr="00DC5C78">
        <w:rPr>
          <w:color w:val="auto"/>
          <w:sz w:val="22"/>
          <w:szCs w:val="22"/>
        </w:rPr>
        <w:t xml:space="preserve"> </w:t>
      </w:r>
      <w:r w:rsidR="00615320" w:rsidRPr="00DC5C78">
        <w:rPr>
          <w:color w:val="auto"/>
          <w:sz w:val="22"/>
          <w:szCs w:val="22"/>
        </w:rPr>
        <w:t xml:space="preserve"> </w:t>
      </w:r>
      <w:r w:rsidR="00802516" w:rsidRPr="00DC5C78">
        <w:rPr>
          <w:color w:val="auto"/>
          <w:sz w:val="22"/>
          <w:szCs w:val="22"/>
        </w:rPr>
        <w:t xml:space="preserve">In return </w:t>
      </w:r>
      <w:r w:rsidR="00035136">
        <w:rPr>
          <w:color w:val="auto"/>
          <w:sz w:val="22"/>
          <w:szCs w:val="22"/>
        </w:rPr>
        <w:t xml:space="preserve">for retaining business rates, </w:t>
      </w:r>
      <w:r w:rsidR="00802516" w:rsidRPr="00DC5C78">
        <w:rPr>
          <w:color w:val="auto"/>
          <w:sz w:val="22"/>
          <w:szCs w:val="22"/>
        </w:rPr>
        <w:t>they wil</w:t>
      </w:r>
      <w:r w:rsidR="00CC52EA" w:rsidRPr="00DC5C78">
        <w:rPr>
          <w:color w:val="auto"/>
          <w:sz w:val="22"/>
          <w:szCs w:val="22"/>
        </w:rPr>
        <w:t xml:space="preserve">l forego Revenue </w:t>
      </w:r>
      <w:r w:rsidR="00CC52EA" w:rsidRPr="00DC5C78">
        <w:rPr>
          <w:color w:val="auto"/>
          <w:sz w:val="22"/>
          <w:szCs w:val="22"/>
        </w:rPr>
        <w:lastRenderedPageBreak/>
        <w:t xml:space="preserve">Support Grant </w:t>
      </w:r>
      <w:r w:rsidR="00802516" w:rsidRPr="00DC5C78">
        <w:rPr>
          <w:color w:val="auto"/>
          <w:sz w:val="22"/>
          <w:szCs w:val="22"/>
        </w:rPr>
        <w:t xml:space="preserve">and a number of funding streams. </w:t>
      </w:r>
      <w:r w:rsidR="00C166DD" w:rsidRPr="00DC5C78">
        <w:rPr>
          <w:color w:val="auto"/>
          <w:sz w:val="22"/>
          <w:szCs w:val="22"/>
        </w:rPr>
        <w:t>T</w:t>
      </w:r>
      <w:r w:rsidR="00802516" w:rsidRPr="00DC5C78">
        <w:rPr>
          <w:color w:val="auto"/>
          <w:sz w:val="22"/>
          <w:szCs w:val="22"/>
        </w:rPr>
        <w:t xml:space="preserve">he </w:t>
      </w:r>
      <w:r w:rsidR="00C166DD" w:rsidRPr="00DC5C78">
        <w:rPr>
          <w:color w:val="auto"/>
          <w:sz w:val="22"/>
          <w:szCs w:val="22"/>
        </w:rPr>
        <w:t xml:space="preserve">Government has committed to the </w:t>
      </w:r>
      <w:r w:rsidR="00802516" w:rsidRPr="00DC5C78">
        <w:rPr>
          <w:color w:val="auto"/>
          <w:sz w:val="22"/>
          <w:szCs w:val="22"/>
        </w:rPr>
        <w:t>pilot arrangements not impact</w:t>
      </w:r>
      <w:r w:rsidR="00C166DD" w:rsidRPr="00DC5C78">
        <w:rPr>
          <w:color w:val="auto"/>
          <w:sz w:val="22"/>
          <w:szCs w:val="22"/>
        </w:rPr>
        <w:t>ing</w:t>
      </w:r>
      <w:r w:rsidR="00802516" w:rsidRPr="00DC5C78">
        <w:rPr>
          <w:color w:val="auto"/>
          <w:sz w:val="22"/>
          <w:szCs w:val="22"/>
        </w:rPr>
        <w:t xml:space="preserve"> </w:t>
      </w:r>
      <w:r w:rsidR="00C166DD" w:rsidRPr="00DC5C78">
        <w:rPr>
          <w:color w:val="auto"/>
          <w:sz w:val="22"/>
          <w:szCs w:val="22"/>
        </w:rPr>
        <w:t xml:space="preserve">financially </w:t>
      </w:r>
      <w:r w:rsidR="00802516" w:rsidRPr="00DC5C78">
        <w:rPr>
          <w:color w:val="auto"/>
          <w:sz w:val="22"/>
          <w:szCs w:val="22"/>
        </w:rPr>
        <w:t>on non-pilot authorities.</w:t>
      </w:r>
    </w:p>
    <w:p w14:paraId="5C6C87F8" w14:textId="77777777" w:rsidR="007334F3" w:rsidRDefault="007334F3" w:rsidP="003A2E16">
      <w:pPr>
        <w:pStyle w:val="Default"/>
        <w:ind w:left="360"/>
        <w:rPr>
          <w:color w:val="auto"/>
          <w:sz w:val="22"/>
          <w:szCs w:val="22"/>
        </w:rPr>
      </w:pPr>
    </w:p>
    <w:p w14:paraId="579C41E4" w14:textId="6487A448" w:rsidR="00B11CFD" w:rsidRPr="007334F3" w:rsidRDefault="00B11CFD" w:rsidP="003A2E16">
      <w:pPr>
        <w:pStyle w:val="Default"/>
        <w:numPr>
          <w:ilvl w:val="0"/>
          <w:numId w:val="11"/>
        </w:numPr>
        <w:rPr>
          <w:color w:val="auto"/>
          <w:sz w:val="22"/>
          <w:szCs w:val="22"/>
        </w:rPr>
      </w:pPr>
      <w:r w:rsidRPr="007334F3">
        <w:rPr>
          <w:color w:val="auto"/>
          <w:sz w:val="22"/>
          <w:szCs w:val="22"/>
        </w:rPr>
        <w:t>The LGA continues to work with the Government on</w:t>
      </w:r>
      <w:r w:rsidR="00BE7443" w:rsidRPr="007334F3">
        <w:rPr>
          <w:color w:val="auto"/>
          <w:sz w:val="22"/>
          <w:szCs w:val="22"/>
        </w:rPr>
        <w:t xml:space="preserve"> fu</w:t>
      </w:r>
      <w:r w:rsidR="00CC52EA" w:rsidRPr="007334F3">
        <w:rPr>
          <w:color w:val="auto"/>
          <w:sz w:val="22"/>
          <w:szCs w:val="22"/>
        </w:rPr>
        <w:t>rther</w:t>
      </w:r>
      <w:r w:rsidRPr="007334F3">
        <w:rPr>
          <w:color w:val="auto"/>
          <w:sz w:val="22"/>
          <w:szCs w:val="22"/>
        </w:rPr>
        <w:t xml:space="preserve"> business rates retention reform</w:t>
      </w:r>
      <w:r w:rsidR="007334F3">
        <w:rPr>
          <w:color w:val="auto"/>
          <w:sz w:val="22"/>
          <w:szCs w:val="22"/>
        </w:rPr>
        <w:t>, with t</w:t>
      </w:r>
      <w:r w:rsidRPr="007334F3">
        <w:rPr>
          <w:color w:val="auto"/>
          <w:sz w:val="22"/>
          <w:szCs w:val="22"/>
        </w:rPr>
        <w:t>he LGA’s own policy on business rates retention continues to be formulated and refined by the Task</w:t>
      </w:r>
      <w:r w:rsidR="00CC52EA" w:rsidRPr="007334F3">
        <w:rPr>
          <w:color w:val="auto"/>
          <w:sz w:val="22"/>
          <w:szCs w:val="22"/>
        </w:rPr>
        <w:t xml:space="preserve"> and Finish Group of which I am Chair</w:t>
      </w:r>
      <w:r w:rsidRPr="007334F3">
        <w:rPr>
          <w:color w:val="auto"/>
          <w:sz w:val="22"/>
          <w:szCs w:val="22"/>
        </w:rPr>
        <w:t xml:space="preserve">. Recently, the Group has considered papers on councils’ responses to the summer consultation, </w:t>
      </w:r>
      <w:r w:rsidR="00A2637A" w:rsidRPr="007334F3">
        <w:rPr>
          <w:color w:val="auto"/>
          <w:sz w:val="22"/>
          <w:szCs w:val="22"/>
        </w:rPr>
        <w:t xml:space="preserve">needs indicators and </w:t>
      </w:r>
      <w:r w:rsidRPr="007334F3">
        <w:rPr>
          <w:color w:val="auto"/>
          <w:sz w:val="22"/>
          <w:szCs w:val="22"/>
        </w:rPr>
        <w:t>progress of the Fair Funding Review</w:t>
      </w:r>
      <w:r w:rsidR="00CC52EA" w:rsidRPr="007334F3">
        <w:rPr>
          <w:color w:val="auto"/>
          <w:sz w:val="22"/>
          <w:szCs w:val="22"/>
        </w:rPr>
        <w:t xml:space="preserve"> and </w:t>
      </w:r>
      <w:r w:rsidRPr="007334F3">
        <w:rPr>
          <w:color w:val="auto"/>
          <w:sz w:val="22"/>
          <w:szCs w:val="22"/>
        </w:rPr>
        <w:t>the impact of the 2017 revaluation</w:t>
      </w:r>
      <w:r w:rsidR="00BE7443" w:rsidRPr="007334F3">
        <w:rPr>
          <w:color w:val="auto"/>
          <w:sz w:val="22"/>
          <w:szCs w:val="22"/>
        </w:rPr>
        <w:t>, amongst others</w:t>
      </w:r>
      <w:r w:rsidRPr="007334F3">
        <w:rPr>
          <w:color w:val="auto"/>
          <w:sz w:val="22"/>
          <w:szCs w:val="22"/>
        </w:rPr>
        <w:t>.</w:t>
      </w:r>
    </w:p>
    <w:p w14:paraId="1B4B059D" w14:textId="0AD3A3EC" w:rsidR="00B11CFD" w:rsidRPr="009F7920" w:rsidRDefault="00B11CFD" w:rsidP="003A2E16">
      <w:pPr>
        <w:pStyle w:val="Default"/>
        <w:rPr>
          <w:sz w:val="22"/>
          <w:szCs w:val="22"/>
        </w:rPr>
      </w:pPr>
    </w:p>
    <w:p w14:paraId="07094CCA" w14:textId="61E81B04" w:rsidR="00615320" w:rsidRDefault="00615320" w:rsidP="003A2E16">
      <w:pPr>
        <w:pStyle w:val="Default"/>
        <w:ind w:firstLine="360"/>
        <w:rPr>
          <w:b/>
          <w:color w:val="auto"/>
          <w:sz w:val="22"/>
          <w:szCs w:val="22"/>
        </w:rPr>
      </w:pPr>
      <w:r w:rsidRPr="00B85480">
        <w:rPr>
          <w:b/>
          <w:color w:val="auto"/>
          <w:sz w:val="22"/>
          <w:szCs w:val="22"/>
        </w:rPr>
        <w:t>Business Rates Revaluation</w:t>
      </w:r>
    </w:p>
    <w:p w14:paraId="6444F5D4" w14:textId="77777777" w:rsidR="00BF6F37" w:rsidRPr="00B85480" w:rsidRDefault="00BF6F37" w:rsidP="003A2E16">
      <w:pPr>
        <w:pStyle w:val="Default"/>
        <w:ind w:firstLine="360"/>
        <w:rPr>
          <w:b/>
          <w:color w:val="auto"/>
          <w:sz w:val="22"/>
          <w:szCs w:val="22"/>
        </w:rPr>
      </w:pPr>
    </w:p>
    <w:p w14:paraId="45AEC52B" w14:textId="6069AB5B" w:rsidR="00236BCD" w:rsidRPr="009F7920" w:rsidRDefault="00615320" w:rsidP="003A2E16">
      <w:pPr>
        <w:pStyle w:val="Default"/>
        <w:numPr>
          <w:ilvl w:val="0"/>
          <w:numId w:val="11"/>
        </w:numPr>
        <w:rPr>
          <w:color w:val="auto"/>
          <w:sz w:val="22"/>
          <w:szCs w:val="22"/>
        </w:rPr>
      </w:pPr>
      <w:r w:rsidRPr="009F7920">
        <w:rPr>
          <w:color w:val="auto"/>
          <w:sz w:val="22"/>
          <w:szCs w:val="22"/>
        </w:rPr>
        <w:t xml:space="preserve">The LGA </w:t>
      </w:r>
      <w:hyperlink r:id="rId17" w:history="1">
        <w:r w:rsidRPr="009F7920">
          <w:rPr>
            <w:rStyle w:val="Hyperlink"/>
            <w:sz w:val="22"/>
            <w:szCs w:val="22"/>
          </w:rPr>
          <w:t>responded</w:t>
        </w:r>
      </w:hyperlink>
      <w:r w:rsidRPr="009F7920">
        <w:rPr>
          <w:color w:val="auto"/>
          <w:sz w:val="22"/>
          <w:szCs w:val="22"/>
        </w:rPr>
        <w:t xml:space="preserve"> to the Government’s </w:t>
      </w:r>
      <w:r w:rsidR="00236BCD" w:rsidRPr="009F7920">
        <w:rPr>
          <w:color w:val="auto"/>
          <w:sz w:val="22"/>
          <w:szCs w:val="22"/>
        </w:rPr>
        <w:t>consultation</w:t>
      </w:r>
      <w:r w:rsidRPr="009F7920">
        <w:rPr>
          <w:color w:val="auto"/>
          <w:sz w:val="22"/>
          <w:szCs w:val="22"/>
        </w:rPr>
        <w:t xml:space="preserve"> on transitional arrangements for the 2017 business rates revaluation</w:t>
      </w:r>
      <w:r w:rsidR="00CC52EA" w:rsidRPr="009F7920">
        <w:rPr>
          <w:color w:val="auto"/>
          <w:sz w:val="22"/>
          <w:szCs w:val="22"/>
        </w:rPr>
        <w:t xml:space="preserve">. </w:t>
      </w:r>
      <w:r w:rsidR="008E4501">
        <w:rPr>
          <w:color w:val="auto"/>
          <w:sz w:val="22"/>
          <w:szCs w:val="22"/>
        </w:rPr>
        <w:t>W</w:t>
      </w:r>
      <w:r w:rsidR="00CC52EA" w:rsidRPr="009F7920">
        <w:rPr>
          <w:color w:val="auto"/>
          <w:sz w:val="22"/>
          <w:szCs w:val="22"/>
        </w:rPr>
        <w:t xml:space="preserve">e </w:t>
      </w:r>
      <w:r w:rsidR="00236BCD" w:rsidRPr="009F7920">
        <w:rPr>
          <w:color w:val="auto"/>
          <w:sz w:val="22"/>
          <w:szCs w:val="22"/>
        </w:rPr>
        <w:t>highlighted the</w:t>
      </w:r>
      <w:r w:rsidR="00236BCD" w:rsidRPr="009F7920">
        <w:rPr>
          <w:sz w:val="22"/>
          <w:szCs w:val="22"/>
        </w:rPr>
        <w:t xml:space="preserve"> </w:t>
      </w:r>
      <w:r w:rsidR="00236BCD" w:rsidRPr="009F7920">
        <w:rPr>
          <w:color w:val="auto"/>
          <w:sz w:val="22"/>
          <w:szCs w:val="22"/>
        </w:rPr>
        <w:t>continuing impact of business rates appeals on local authorities and repeated our call for the Government to provide sufficient resources to resolve currently outstanding appeals by April 2018.</w:t>
      </w:r>
    </w:p>
    <w:p w14:paraId="11DD6BCF" w14:textId="77777777" w:rsidR="00CE1EF5" w:rsidRPr="009F7920" w:rsidRDefault="00CE1EF5" w:rsidP="003A2E16">
      <w:pPr>
        <w:pStyle w:val="Default"/>
        <w:ind w:left="720"/>
        <w:rPr>
          <w:color w:val="auto"/>
          <w:sz w:val="22"/>
          <w:szCs w:val="22"/>
        </w:rPr>
      </w:pPr>
    </w:p>
    <w:p w14:paraId="7DEAA5E7" w14:textId="767DA59C" w:rsidR="00CE1EF5" w:rsidRDefault="00CE1EF5" w:rsidP="003A2E16">
      <w:pPr>
        <w:pStyle w:val="Default"/>
        <w:ind w:firstLine="360"/>
        <w:rPr>
          <w:b/>
          <w:color w:val="auto"/>
          <w:sz w:val="22"/>
          <w:szCs w:val="22"/>
        </w:rPr>
      </w:pPr>
      <w:r w:rsidRPr="009F7920">
        <w:rPr>
          <w:b/>
          <w:color w:val="auto"/>
          <w:sz w:val="22"/>
          <w:szCs w:val="22"/>
        </w:rPr>
        <w:t>London Finance Commission</w:t>
      </w:r>
    </w:p>
    <w:p w14:paraId="759B86E5" w14:textId="77777777" w:rsidR="00BF6F37" w:rsidRPr="009F7920" w:rsidRDefault="00BF6F37" w:rsidP="003A2E16">
      <w:pPr>
        <w:pStyle w:val="Default"/>
        <w:ind w:firstLine="360"/>
        <w:rPr>
          <w:b/>
          <w:color w:val="auto"/>
          <w:sz w:val="22"/>
          <w:szCs w:val="22"/>
        </w:rPr>
      </w:pPr>
    </w:p>
    <w:p w14:paraId="32849BB8" w14:textId="23C84EAA" w:rsidR="00DB5ACD" w:rsidRDefault="00CE1EF5" w:rsidP="003A2E16">
      <w:pPr>
        <w:pStyle w:val="Default"/>
        <w:numPr>
          <w:ilvl w:val="0"/>
          <w:numId w:val="11"/>
        </w:numPr>
        <w:rPr>
          <w:color w:val="auto"/>
          <w:sz w:val="22"/>
          <w:szCs w:val="22"/>
        </w:rPr>
      </w:pPr>
      <w:r w:rsidRPr="009F7920">
        <w:rPr>
          <w:color w:val="auto"/>
          <w:sz w:val="22"/>
          <w:szCs w:val="22"/>
        </w:rPr>
        <w:t>Cllr John Fuller</w:t>
      </w:r>
      <w:r w:rsidR="00114BD6">
        <w:rPr>
          <w:color w:val="auto"/>
          <w:sz w:val="22"/>
          <w:szCs w:val="22"/>
        </w:rPr>
        <w:t xml:space="preserve"> (</w:t>
      </w:r>
      <w:r w:rsidRPr="009F7920">
        <w:rPr>
          <w:color w:val="auto"/>
          <w:sz w:val="22"/>
          <w:szCs w:val="22"/>
        </w:rPr>
        <w:t>Vice-</w:t>
      </w:r>
      <w:r w:rsidR="00480880" w:rsidRPr="009F7920">
        <w:rPr>
          <w:color w:val="auto"/>
          <w:sz w:val="22"/>
          <w:szCs w:val="22"/>
        </w:rPr>
        <w:t>C</w:t>
      </w:r>
      <w:r w:rsidR="00114BD6">
        <w:rPr>
          <w:color w:val="auto"/>
          <w:sz w:val="22"/>
          <w:szCs w:val="22"/>
        </w:rPr>
        <w:t>hair</w:t>
      </w:r>
      <w:r w:rsidR="007C17D5">
        <w:rPr>
          <w:color w:val="auto"/>
          <w:sz w:val="22"/>
          <w:szCs w:val="22"/>
        </w:rPr>
        <w:t>man</w:t>
      </w:r>
      <w:r w:rsidR="00114BD6">
        <w:rPr>
          <w:color w:val="auto"/>
          <w:sz w:val="22"/>
          <w:szCs w:val="22"/>
        </w:rPr>
        <w:t xml:space="preserve">) </w:t>
      </w:r>
      <w:r w:rsidRPr="009F7920">
        <w:rPr>
          <w:color w:val="auto"/>
          <w:sz w:val="22"/>
          <w:szCs w:val="22"/>
        </w:rPr>
        <w:t>gave oral evidence to the relaun</w:t>
      </w:r>
      <w:r w:rsidR="00114BD6">
        <w:rPr>
          <w:color w:val="auto"/>
          <w:sz w:val="22"/>
          <w:szCs w:val="22"/>
        </w:rPr>
        <w:t xml:space="preserve">ched London Finance Commission, which </w:t>
      </w:r>
      <w:r w:rsidR="00114BD6" w:rsidRPr="009F7920">
        <w:rPr>
          <w:color w:val="auto"/>
          <w:sz w:val="22"/>
          <w:szCs w:val="22"/>
        </w:rPr>
        <w:t xml:space="preserve">due to </w:t>
      </w:r>
      <w:r w:rsidR="00342213">
        <w:rPr>
          <w:color w:val="auto"/>
          <w:sz w:val="22"/>
          <w:szCs w:val="22"/>
        </w:rPr>
        <w:t>release its final report i</w:t>
      </w:r>
      <w:r w:rsidR="00114BD6" w:rsidRPr="009F7920">
        <w:rPr>
          <w:color w:val="auto"/>
          <w:sz w:val="22"/>
          <w:szCs w:val="22"/>
        </w:rPr>
        <w:t>n early 2017</w:t>
      </w:r>
      <w:r w:rsidR="00114BD6">
        <w:rPr>
          <w:color w:val="auto"/>
          <w:sz w:val="22"/>
          <w:szCs w:val="22"/>
        </w:rPr>
        <w:t xml:space="preserve">.  </w:t>
      </w:r>
      <w:r w:rsidRPr="009F7920">
        <w:rPr>
          <w:color w:val="auto"/>
          <w:sz w:val="22"/>
          <w:szCs w:val="22"/>
        </w:rPr>
        <w:t xml:space="preserve">The session explored fiscal devolution, including business rates </w:t>
      </w:r>
      <w:r w:rsidR="007C17D5">
        <w:rPr>
          <w:color w:val="auto"/>
          <w:sz w:val="22"/>
          <w:szCs w:val="22"/>
        </w:rPr>
        <w:t xml:space="preserve">and </w:t>
      </w:r>
      <w:r w:rsidRPr="009F7920">
        <w:rPr>
          <w:color w:val="auto"/>
          <w:sz w:val="22"/>
          <w:szCs w:val="22"/>
        </w:rPr>
        <w:t>other taxation currently managed at a national level.</w:t>
      </w:r>
      <w:r w:rsidR="00480880" w:rsidRPr="009F7920">
        <w:rPr>
          <w:color w:val="auto"/>
          <w:sz w:val="22"/>
          <w:szCs w:val="22"/>
        </w:rPr>
        <w:t xml:space="preserve"> </w:t>
      </w:r>
    </w:p>
    <w:p w14:paraId="229E1E02" w14:textId="77777777" w:rsidR="00DB5ACD" w:rsidRDefault="00DB5ACD" w:rsidP="003A2E16">
      <w:pPr>
        <w:pStyle w:val="Default"/>
        <w:rPr>
          <w:color w:val="auto"/>
          <w:sz w:val="22"/>
          <w:szCs w:val="22"/>
        </w:rPr>
      </w:pPr>
    </w:p>
    <w:p w14:paraId="4A247DB5" w14:textId="013ABEA3" w:rsidR="00DB5ACD" w:rsidRDefault="00DB5ACD" w:rsidP="003A2E16">
      <w:pPr>
        <w:pStyle w:val="Default"/>
        <w:ind w:left="360"/>
        <w:rPr>
          <w:b/>
          <w:color w:val="auto"/>
          <w:sz w:val="22"/>
          <w:szCs w:val="22"/>
        </w:rPr>
      </w:pPr>
      <w:r w:rsidRPr="00DB5ACD">
        <w:rPr>
          <w:b/>
          <w:color w:val="auto"/>
          <w:sz w:val="22"/>
          <w:szCs w:val="22"/>
        </w:rPr>
        <w:t>EU work stream</w:t>
      </w:r>
    </w:p>
    <w:p w14:paraId="0D9E176F" w14:textId="77777777" w:rsidR="00BF6F37" w:rsidRPr="00DB5ACD" w:rsidRDefault="00BF6F37" w:rsidP="003A2E16">
      <w:pPr>
        <w:pStyle w:val="Default"/>
        <w:ind w:left="360"/>
        <w:rPr>
          <w:b/>
          <w:color w:val="auto"/>
          <w:sz w:val="22"/>
          <w:szCs w:val="22"/>
        </w:rPr>
      </w:pPr>
    </w:p>
    <w:p w14:paraId="3BFF6C29" w14:textId="5A2B831B" w:rsidR="00DB5ACD" w:rsidRPr="00DB5ACD" w:rsidRDefault="00DB5ACD" w:rsidP="003A2E16">
      <w:pPr>
        <w:pStyle w:val="Default"/>
        <w:numPr>
          <w:ilvl w:val="0"/>
          <w:numId w:val="11"/>
        </w:numPr>
        <w:rPr>
          <w:color w:val="auto"/>
          <w:sz w:val="22"/>
          <w:szCs w:val="22"/>
        </w:rPr>
      </w:pPr>
      <w:r w:rsidRPr="00DB5ACD">
        <w:rPr>
          <w:color w:val="auto"/>
          <w:sz w:val="22"/>
          <w:szCs w:val="22"/>
        </w:rPr>
        <w:t xml:space="preserve">Our EU work stream lobbying priorities are focusing on the immediate and key local government issues, risks and opportunities, that either Government or Parliament will need to consider when Article 50 is triggered. </w:t>
      </w:r>
    </w:p>
    <w:p w14:paraId="50E5247B" w14:textId="77777777" w:rsidR="00DB5ACD" w:rsidRPr="00DB5ACD" w:rsidRDefault="00DB5ACD" w:rsidP="003A2E16">
      <w:pPr>
        <w:pStyle w:val="Default"/>
        <w:ind w:left="360"/>
        <w:rPr>
          <w:color w:val="auto"/>
          <w:sz w:val="22"/>
          <w:szCs w:val="22"/>
        </w:rPr>
      </w:pPr>
    </w:p>
    <w:p w14:paraId="133292EB" w14:textId="385EBC5B" w:rsidR="00DB5ACD" w:rsidRPr="00272A2B" w:rsidRDefault="00DB5ACD" w:rsidP="003A2E16">
      <w:pPr>
        <w:pStyle w:val="Default"/>
        <w:numPr>
          <w:ilvl w:val="0"/>
          <w:numId w:val="11"/>
        </w:numPr>
        <w:rPr>
          <w:color w:val="auto"/>
          <w:sz w:val="22"/>
          <w:szCs w:val="22"/>
        </w:rPr>
      </w:pPr>
      <w:r w:rsidRPr="00DB5ACD">
        <w:rPr>
          <w:color w:val="auto"/>
          <w:sz w:val="22"/>
          <w:szCs w:val="22"/>
        </w:rPr>
        <w:t xml:space="preserve">Our lobbying approach and policy positions to </w:t>
      </w:r>
      <w:r w:rsidR="00DC5C78">
        <w:rPr>
          <w:color w:val="auto"/>
          <w:sz w:val="22"/>
          <w:szCs w:val="22"/>
        </w:rPr>
        <w:t>public procurement, state</w:t>
      </w:r>
      <w:r w:rsidR="00FF5119">
        <w:rPr>
          <w:color w:val="auto"/>
          <w:sz w:val="22"/>
          <w:szCs w:val="22"/>
        </w:rPr>
        <w:t>-</w:t>
      </w:r>
      <w:r w:rsidR="00DC5C78">
        <w:rPr>
          <w:color w:val="auto"/>
          <w:sz w:val="22"/>
          <w:szCs w:val="22"/>
        </w:rPr>
        <w:t xml:space="preserve">aid and successor arrangements for EU regional funding </w:t>
      </w:r>
      <w:r w:rsidRPr="00DB5ACD">
        <w:rPr>
          <w:color w:val="auto"/>
          <w:sz w:val="22"/>
          <w:szCs w:val="22"/>
        </w:rPr>
        <w:t>were recently discussed and endorsed by both</w:t>
      </w:r>
      <w:r w:rsidR="008E5E40">
        <w:rPr>
          <w:color w:val="auto"/>
          <w:sz w:val="22"/>
          <w:szCs w:val="22"/>
        </w:rPr>
        <w:t xml:space="preserve"> Resources and Leadership Board</w:t>
      </w:r>
      <w:r w:rsidR="00272A2B">
        <w:rPr>
          <w:color w:val="auto"/>
          <w:sz w:val="22"/>
          <w:szCs w:val="22"/>
        </w:rPr>
        <w:t xml:space="preserve">.  </w:t>
      </w:r>
      <w:r w:rsidRPr="00272A2B">
        <w:rPr>
          <w:color w:val="auto"/>
          <w:sz w:val="22"/>
          <w:szCs w:val="22"/>
        </w:rPr>
        <w:t>The Resources Board</w:t>
      </w:r>
      <w:r w:rsidR="008E5E40">
        <w:rPr>
          <w:color w:val="auto"/>
          <w:sz w:val="22"/>
          <w:szCs w:val="22"/>
        </w:rPr>
        <w:t>’s</w:t>
      </w:r>
      <w:r w:rsidRPr="00272A2B">
        <w:rPr>
          <w:color w:val="auto"/>
          <w:sz w:val="22"/>
          <w:szCs w:val="22"/>
        </w:rPr>
        <w:t xml:space="preserve"> EU Funding Task Group</w:t>
      </w:r>
      <w:r w:rsidR="008E5E40">
        <w:rPr>
          <w:color w:val="auto"/>
          <w:sz w:val="22"/>
          <w:szCs w:val="22"/>
        </w:rPr>
        <w:t>,</w:t>
      </w:r>
      <w:r w:rsidRPr="00272A2B">
        <w:rPr>
          <w:color w:val="auto"/>
          <w:sz w:val="22"/>
          <w:szCs w:val="22"/>
        </w:rPr>
        <w:t xml:space="preserve"> led by Cllr Clarence Barret</w:t>
      </w:r>
      <w:r w:rsidR="008E5E40">
        <w:rPr>
          <w:color w:val="auto"/>
          <w:sz w:val="22"/>
          <w:szCs w:val="22"/>
        </w:rPr>
        <w:t xml:space="preserve"> (Deputy Chair),</w:t>
      </w:r>
      <w:r w:rsidRPr="00272A2B">
        <w:rPr>
          <w:color w:val="auto"/>
          <w:sz w:val="22"/>
          <w:szCs w:val="22"/>
        </w:rPr>
        <w:t xml:space="preserve"> has also commissioned new work to drive and lead this important debate.</w:t>
      </w:r>
      <w:r w:rsidR="00272A2B" w:rsidRPr="00272A2B">
        <w:rPr>
          <w:color w:val="auto"/>
          <w:sz w:val="22"/>
          <w:szCs w:val="22"/>
        </w:rPr>
        <w:t xml:space="preserve"> </w:t>
      </w:r>
      <w:r w:rsidR="00272A2B">
        <w:rPr>
          <w:color w:val="auto"/>
          <w:sz w:val="22"/>
          <w:szCs w:val="22"/>
        </w:rPr>
        <w:t xml:space="preserve">I will keep you updated as this work develops. </w:t>
      </w:r>
    </w:p>
    <w:p w14:paraId="4BBAB0AF" w14:textId="77777777" w:rsidR="00DB5ACD" w:rsidRDefault="00DB5ACD" w:rsidP="003A2E16">
      <w:pPr>
        <w:pStyle w:val="Default"/>
        <w:rPr>
          <w:color w:val="auto"/>
          <w:sz w:val="22"/>
          <w:szCs w:val="22"/>
        </w:rPr>
      </w:pPr>
    </w:p>
    <w:p w14:paraId="1E058EF2" w14:textId="2B544BA6" w:rsidR="002A6726" w:rsidRDefault="002A558B" w:rsidP="003A2E16">
      <w:pPr>
        <w:pStyle w:val="Default"/>
        <w:ind w:left="360"/>
        <w:rPr>
          <w:b/>
          <w:color w:val="auto"/>
          <w:sz w:val="22"/>
          <w:szCs w:val="22"/>
        </w:rPr>
      </w:pPr>
      <w:r w:rsidRPr="002A558B">
        <w:rPr>
          <w:b/>
          <w:color w:val="auto"/>
          <w:sz w:val="22"/>
          <w:szCs w:val="22"/>
        </w:rPr>
        <w:t xml:space="preserve">Welfare </w:t>
      </w:r>
    </w:p>
    <w:p w14:paraId="6260321E" w14:textId="77777777" w:rsidR="00BF6F37" w:rsidRPr="002A558B" w:rsidRDefault="00BF6F37" w:rsidP="003A2E16">
      <w:pPr>
        <w:pStyle w:val="Default"/>
        <w:ind w:left="360"/>
        <w:rPr>
          <w:b/>
          <w:color w:val="auto"/>
          <w:sz w:val="22"/>
          <w:szCs w:val="22"/>
        </w:rPr>
      </w:pPr>
    </w:p>
    <w:p w14:paraId="4E4A0AEE" w14:textId="6F09AE22" w:rsidR="002A6726" w:rsidRPr="009A7530" w:rsidRDefault="00614060" w:rsidP="003A2E16">
      <w:pPr>
        <w:pStyle w:val="Default"/>
        <w:numPr>
          <w:ilvl w:val="0"/>
          <w:numId w:val="11"/>
        </w:numPr>
        <w:rPr>
          <w:color w:val="auto"/>
          <w:sz w:val="22"/>
          <w:szCs w:val="22"/>
        </w:rPr>
      </w:pPr>
      <w:r>
        <w:rPr>
          <w:color w:val="auto"/>
          <w:sz w:val="22"/>
          <w:szCs w:val="22"/>
        </w:rPr>
        <w:t>Cll</w:t>
      </w:r>
      <w:r w:rsidR="002A6726" w:rsidRPr="002A6726">
        <w:rPr>
          <w:color w:val="auto"/>
          <w:sz w:val="22"/>
          <w:szCs w:val="22"/>
        </w:rPr>
        <w:t>r John Fuller gave oral evidence to the House of Lords Financial Exclusion Committee on 25 October.  The committee were particularly inte</w:t>
      </w:r>
      <w:r w:rsidR="00B341A5">
        <w:rPr>
          <w:color w:val="auto"/>
          <w:sz w:val="22"/>
          <w:szCs w:val="22"/>
        </w:rPr>
        <w:t>rested in the role of councils i</w:t>
      </w:r>
      <w:r w:rsidR="002A6726" w:rsidRPr="002A6726">
        <w:rPr>
          <w:color w:val="auto"/>
          <w:sz w:val="22"/>
          <w:szCs w:val="22"/>
        </w:rPr>
        <w:t>n providing a local safety net and the ongoing impact of Government reforms to working age welfare benefits. </w:t>
      </w:r>
      <w:r w:rsidR="009A7530">
        <w:rPr>
          <w:color w:val="auto"/>
          <w:sz w:val="22"/>
          <w:szCs w:val="22"/>
        </w:rPr>
        <w:t xml:space="preserve"> </w:t>
      </w:r>
      <w:r w:rsidR="002A6726" w:rsidRPr="009A7530">
        <w:rPr>
          <w:color w:val="auto"/>
          <w:sz w:val="22"/>
          <w:szCs w:val="22"/>
        </w:rPr>
        <w:t xml:space="preserve">A full transcript of the evidence session is available </w:t>
      </w:r>
      <w:hyperlink r:id="rId18" w:history="1">
        <w:r w:rsidR="009A7530" w:rsidRPr="009A7530">
          <w:rPr>
            <w:rStyle w:val="Hyperlink"/>
            <w:sz w:val="22"/>
            <w:szCs w:val="22"/>
          </w:rPr>
          <w:t>here</w:t>
        </w:r>
      </w:hyperlink>
      <w:r w:rsidR="00945401">
        <w:rPr>
          <w:rStyle w:val="Hyperlink"/>
          <w:sz w:val="22"/>
          <w:szCs w:val="22"/>
        </w:rPr>
        <w:t>.</w:t>
      </w:r>
    </w:p>
    <w:p w14:paraId="743D18B7" w14:textId="77777777" w:rsidR="002A6726" w:rsidRDefault="002A6726" w:rsidP="003A2E16">
      <w:pPr>
        <w:pStyle w:val="Default"/>
        <w:rPr>
          <w:color w:val="auto"/>
          <w:sz w:val="22"/>
          <w:szCs w:val="22"/>
        </w:rPr>
      </w:pPr>
    </w:p>
    <w:p w14:paraId="10C6B630" w14:textId="77777777" w:rsidR="00FC41F9" w:rsidRDefault="00FC41F9" w:rsidP="003A2E16">
      <w:pPr>
        <w:pStyle w:val="Default"/>
        <w:ind w:left="360"/>
        <w:rPr>
          <w:b/>
          <w:color w:val="auto"/>
          <w:sz w:val="22"/>
          <w:szCs w:val="22"/>
        </w:rPr>
      </w:pPr>
      <w:r w:rsidRPr="003A2E16">
        <w:rPr>
          <w:b/>
          <w:color w:val="auto"/>
          <w:sz w:val="22"/>
          <w:szCs w:val="22"/>
        </w:rPr>
        <w:t>Come Back to Social Work Programme</w:t>
      </w:r>
    </w:p>
    <w:p w14:paraId="05443FA6" w14:textId="77777777" w:rsidR="00BF6F37" w:rsidRPr="003A2E16" w:rsidRDefault="00BF6F37" w:rsidP="003A2E16">
      <w:pPr>
        <w:pStyle w:val="Default"/>
        <w:ind w:left="360"/>
        <w:rPr>
          <w:b/>
          <w:color w:val="auto"/>
          <w:sz w:val="22"/>
          <w:szCs w:val="22"/>
        </w:rPr>
      </w:pPr>
    </w:p>
    <w:p w14:paraId="324815A5" w14:textId="4995B88B" w:rsidR="00FC41F9" w:rsidRPr="00FC41F9" w:rsidRDefault="00FC41F9" w:rsidP="003A2E16">
      <w:pPr>
        <w:pStyle w:val="Default"/>
        <w:numPr>
          <w:ilvl w:val="0"/>
          <w:numId w:val="11"/>
        </w:numPr>
        <w:rPr>
          <w:sz w:val="22"/>
          <w:szCs w:val="22"/>
        </w:rPr>
      </w:pPr>
      <w:r w:rsidRPr="00FC41F9">
        <w:rPr>
          <w:sz w:val="22"/>
          <w:szCs w:val="22"/>
        </w:rPr>
        <w:t xml:space="preserve">The first national Come Back to Social </w:t>
      </w:r>
      <w:r w:rsidR="00FF5119">
        <w:rPr>
          <w:sz w:val="22"/>
          <w:szCs w:val="22"/>
        </w:rPr>
        <w:t>W</w:t>
      </w:r>
      <w:r w:rsidR="00AB49EC">
        <w:rPr>
          <w:sz w:val="22"/>
          <w:szCs w:val="22"/>
        </w:rPr>
        <w:t xml:space="preserve">ork programme - </w:t>
      </w:r>
      <w:r w:rsidRPr="00FC41F9">
        <w:rPr>
          <w:sz w:val="22"/>
          <w:szCs w:val="22"/>
        </w:rPr>
        <w:t xml:space="preserve">led by the LGA, </w:t>
      </w:r>
      <w:r w:rsidR="00AB49EC">
        <w:rPr>
          <w:sz w:val="22"/>
          <w:szCs w:val="22"/>
        </w:rPr>
        <w:t>Department for Education (</w:t>
      </w:r>
      <w:proofErr w:type="spellStart"/>
      <w:r w:rsidRPr="00FC41F9">
        <w:rPr>
          <w:sz w:val="22"/>
          <w:szCs w:val="22"/>
        </w:rPr>
        <w:t>DfE</w:t>
      </w:r>
      <w:proofErr w:type="spellEnd"/>
      <w:r w:rsidR="00AB49EC">
        <w:rPr>
          <w:sz w:val="22"/>
          <w:szCs w:val="22"/>
        </w:rPr>
        <w:t>)</w:t>
      </w:r>
      <w:r w:rsidRPr="00FC41F9">
        <w:rPr>
          <w:sz w:val="22"/>
          <w:szCs w:val="22"/>
        </w:rPr>
        <w:t xml:space="preserve"> and </w:t>
      </w:r>
      <w:r w:rsidR="00AB49EC">
        <w:rPr>
          <w:sz w:val="22"/>
          <w:szCs w:val="22"/>
        </w:rPr>
        <w:t xml:space="preserve">Department of Health (DH) - </w:t>
      </w:r>
      <w:r w:rsidRPr="00FC41F9">
        <w:rPr>
          <w:sz w:val="22"/>
          <w:szCs w:val="22"/>
        </w:rPr>
        <w:t xml:space="preserve"> is nearing completion</w:t>
      </w:r>
      <w:r w:rsidR="00340FDD">
        <w:rPr>
          <w:sz w:val="22"/>
          <w:szCs w:val="22"/>
        </w:rPr>
        <w:t>,</w:t>
      </w:r>
      <w:r w:rsidRPr="00FC41F9">
        <w:rPr>
          <w:sz w:val="22"/>
          <w:szCs w:val="22"/>
        </w:rPr>
        <w:t xml:space="preserve"> </w:t>
      </w:r>
      <w:r w:rsidR="00AB49EC">
        <w:rPr>
          <w:sz w:val="22"/>
          <w:szCs w:val="22"/>
        </w:rPr>
        <w:t xml:space="preserve">with </w:t>
      </w:r>
      <w:r w:rsidRPr="00E728CB">
        <w:rPr>
          <w:color w:val="auto"/>
          <w:sz w:val="22"/>
          <w:szCs w:val="22"/>
        </w:rPr>
        <w:t>experienced</w:t>
      </w:r>
      <w:r w:rsidRPr="00FC41F9">
        <w:rPr>
          <w:sz w:val="22"/>
          <w:szCs w:val="22"/>
        </w:rPr>
        <w:t xml:space="preserve"> children’s and adults’ social workers ready for coun</w:t>
      </w:r>
      <w:r w:rsidR="00AB49EC">
        <w:rPr>
          <w:sz w:val="22"/>
          <w:szCs w:val="22"/>
        </w:rPr>
        <w:t>cil interviews in February 2017</w:t>
      </w:r>
      <w:r w:rsidRPr="00FC41F9">
        <w:rPr>
          <w:sz w:val="22"/>
          <w:szCs w:val="22"/>
        </w:rPr>
        <w:t xml:space="preserve">. The programme has been successful in attracting talented and qualified social workers back into local government and </w:t>
      </w:r>
      <w:proofErr w:type="spellStart"/>
      <w:r w:rsidRPr="00FC41F9">
        <w:rPr>
          <w:sz w:val="22"/>
          <w:szCs w:val="22"/>
        </w:rPr>
        <w:t>DfE</w:t>
      </w:r>
      <w:proofErr w:type="spellEnd"/>
      <w:r w:rsidRPr="00FC41F9">
        <w:rPr>
          <w:sz w:val="22"/>
          <w:szCs w:val="22"/>
        </w:rPr>
        <w:t xml:space="preserve"> and DH are keen to run further programmes. </w:t>
      </w:r>
    </w:p>
    <w:p w14:paraId="12733C5A" w14:textId="77777777" w:rsidR="00FC41F9" w:rsidRPr="00FC41F9" w:rsidRDefault="00FC41F9" w:rsidP="003A2E16">
      <w:pPr>
        <w:spacing w:after="0" w:line="240" w:lineRule="auto"/>
      </w:pPr>
    </w:p>
    <w:p w14:paraId="303411C2" w14:textId="77777777" w:rsidR="00BF6F37" w:rsidRDefault="00BF6F37" w:rsidP="003A2E16">
      <w:pPr>
        <w:pStyle w:val="Default"/>
        <w:ind w:left="360"/>
        <w:rPr>
          <w:b/>
          <w:color w:val="auto"/>
          <w:sz w:val="22"/>
          <w:szCs w:val="22"/>
        </w:rPr>
      </w:pPr>
    </w:p>
    <w:p w14:paraId="069111C5" w14:textId="77777777" w:rsidR="00BF6F37" w:rsidRDefault="00BF6F37" w:rsidP="003A2E16">
      <w:pPr>
        <w:pStyle w:val="Default"/>
        <w:ind w:left="360"/>
        <w:rPr>
          <w:b/>
          <w:color w:val="auto"/>
          <w:sz w:val="22"/>
          <w:szCs w:val="22"/>
        </w:rPr>
      </w:pPr>
    </w:p>
    <w:p w14:paraId="4AB6A9F2" w14:textId="77777777" w:rsidR="00BF6F37" w:rsidRDefault="00BF6F37" w:rsidP="003A2E16">
      <w:pPr>
        <w:pStyle w:val="Default"/>
        <w:ind w:left="360"/>
        <w:rPr>
          <w:b/>
          <w:color w:val="auto"/>
          <w:sz w:val="22"/>
          <w:szCs w:val="22"/>
        </w:rPr>
      </w:pPr>
    </w:p>
    <w:p w14:paraId="69DF0144" w14:textId="30C434F3" w:rsidR="00FC41F9" w:rsidRDefault="00FC41F9" w:rsidP="003A2E16">
      <w:pPr>
        <w:pStyle w:val="Default"/>
        <w:ind w:left="360"/>
        <w:rPr>
          <w:b/>
          <w:color w:val="auto"/>
          <w:sz w:val="22"/>
          <w:szCs w:val="22"/>
        </w:rPr>
      </w:pPr>
      <w:r w:rsidRPr="003A2E16">
        <w:rPr>
          <w:b/>
          <w:color w:val="auto"/>
          <w:sz w:val="22"/>
          <w:szCs w:val="22"/>
        </w:rPr>
        <w:lastRenderedPageBreak/>
        <w:t>L</w:t>
      </w:r>
      <w:r w:rsidR="00755F00">
        <w:rPr>
          <w:b/>
          <w:color w:val="auto"/>
          <w:sz w:val="22"/>
          <w:szCs w:val="22"/>
        </w:rPr>
        <w:t xml:space="preserve">ocal </w:t>
      </w:r>
      <w:r w:rsidRPr="003A2E16">
        <w:rPr>
          <w:b/>
          <w:color w:val="auto"/>
          <w:sz w:val="22"/>
          <w:szCs w:val="22"/>
        </w:rPr>
        <w:t>G</w:t>
      </w:r>
      <w:r w:rsidR="00755F00">
        <w:rPr>
          <w:b/>
          <w:color w:val="auto"/>
          <w:sz w:val="22"/>
          <w:szCs w:val="22"/>
        </w:rPr>
        <w:t xml:space="preserve">overnment </w:t>
      </w:r>
      <w:r w:rsidRPr="003A2E16">
        <w:rPr>
          <w:b/>
          <w:color w:val="auto"/>
          <w:sz w:val="22"/>
          <w:szCs w:val="22"/>
        </w:rPr>
        <w:t>P</w:t>
      </w:r>
      <w:r w:rsidR="00755F00">
        <w:rPr>
          <w:b/>
          <w:color w:val="auto"/>
          <w:sz w:val="22"/>
          <w:szCs w:val="22"/>
        </w:rPr>
        <w:t xml:space="preserve">ensions </w:t>
      </w:r>
      <w:r w:rsidRPr="003A2E16">
        <w:rPr>
          <w:b/>
          <w:color w:val="auto"/>
          <w:sz w:val="22"/>
          <w:szCs w:val="22"/>
        </w:rPr>
        <w:t>S</w:t>
      </w:r>
      <w:r w:rsidR="00755F00">
        <w:rPr>
          <w:b/>
          <w:color w:val="auto"/>
          <w:sz w:val="22"/>
          <w:szCs w:val="22"/>
        </w:rPr>
        <w:t>cheme (LGPS) A</w:t>
      </w:r>
      <w:r w:rsidRPr="003A2E16">
        <w:rPr>
          <w:b/>
          <w:color w:val="auto"/>
          <w:sz w:val="22"/>
          <w:szCs w:val="22"/>
        </w:rPr>
        <w:t xml:space="preserve">dvisory </w:t>
      </w:r>
      <w:r w:rsidR="00755F00">
        <w:rPr>
          <w:b/>
          <w:color w:val="auto"/>
          <w:sz w:val="22"/>
          <w:szCs w:val="22"/>
        </w:rPr>
        <w:t>B</w:t>
      </w:r>
      <w:r w:rsidRPr="003A2E16">
        <w:rPr>
          <w:b/>
          <w:color w:val="auto"/>
          <w:sz w:val="22"/>
          <w:szCs w:val="22"/>
        </w:rPr>
        <w:t xml:space="preserve">oard </w:t>
      </w:r>
    </w:p>
    <w:p w14:paraId="2603CBA9" w14:textId="77777777" w:rsidR="00BF6F37" w:rsidRPr="003A2E16" w:rsidRDefault="00BF6F37" w:rsidP="003A2E16">
      <w:pPr>
        <w:pStyle w:val="Default"/>
        <w:ind w:left="360"/>
        <w:rPr>
          <w:b/>
          <w:color w:val="auto"/>
          <w:sz w:val="22"/>
          <w:szCs w:val="22"/>
        </w:rPr>
      </w:pPr>
    </w:p>
    <w:p w14:paraId="6E984E8B" w14:textId="27047632" w:rsidR="00FC41F9" w:rsidRPr="005C597B" w:rsidRDefault="00C35EC4" w:rsidP="00DB5ACD">
      <w:pPr>
        <w:pStyle w:val="Default"/>
        <w:numPr>
          <w:ilvl w:val="0"/>
          <w:numId w:val="11"/>
        </w:numPr>
        <w:rPr>
          <w:sz w:val="22"/>
          <w:szCs w:val="22"/>
        </w:rPr>
      </w:pPr>
      <w:r>
        <w:rPr>
          <w:sz w:val="22"/>
          <w:szCs w:val="22"/>
        </w:rPr>
        <w:t>The LGPS A</w:t>
      </w:r>
      <w:r w:rsidR="00FC41F9" w:rsidRPr="00FC41F9">
        <w:rPr>
          <w:sz w:val="22"/>
          <w:szCs w:val="22"/>
        </w:rPr>
        <w:t xml:space="preserve">dvisory </w:t>
      </w:r>
      <w:r>
        <w:rPr>
          <w:sz w:val="22"/>
          <w:szCs w:val="22"/>
        </w:rPr>
        <w:t>B</w:t>
      </w:r>
      <w:r w:rsidR="00FC41F9" w:rsidRPr="00FC41F9">
        <w:rPr>
          <w:sz w:val="22"/>
          <w:szCs w:val="22"/>
        </w:rPr>
        <w:t xml:space="preserve">oard met on 6 December 2016 </w:t>
      </w:r>
      <w:r>
        <w:rPr>
          <w:sz w:val="22"/>
          <w:szCs w:val="22"/>
        </w:rPr>
        <w:t xml:space="preserve">and discussed </w:t>
      </w:r>
      <w:r w:rsidR="00FC41F9" w:rsidRPr="00FC41F9">
        <w:rPr>
          <w:sz w:val="22"/>
          <w:szCs w:val="22"/>
        </w:rPr>
        <w:t xml:space="preserve">investment </w:t>
      </w:r>
      <w:r w:rsidR="00FC41F9" w:rsidRPr="00E728CB">
        <w:rPr>
          <w:color w:val="auto"/>
          <w:sz w:val="22"/>
          <w:szCs w:val="22"/>
        </w:rPr>
        <w:t>pooling</w:t>
      </w:r>
      <w:r w:rsidR="00FC41F9" w:rsidRPr="00FC41F9">
        <w:rPr>
          <w:sz w:val="22"/>
          <w:szCs w:val="22"/>
        </w:rPr>
        <w:t xml:space="preserve"> </w:t>
      </w:r>
      <w:r w:rsidR="00EB16C0">
        <w:rPr>
          <w:sz w:val="22"/>
          <w:szCs w:val="22"/>
        </w:rPr>
        <w:t xml:space="preserve">as well as receiving </w:t>
      </w:r>
      <w:r>
        <w:rPr>
          <w:sz w:val="22"/>
          <w:szCs w:val="22"/>
        </w:rPr>
        <w:t xml:space="preserve">an interim report </w:t>
      </w:r>
      <w:r w:rsidR="00FC41F9" w:rsidRPr="00FC41F9">
        <w:rPr>
          <w:sz w:val="22"/>
          <w:szCs w:val="22"/>
        </w:rPr>
        <w:t>from</w:t>
      </w:r>
      <w:r>
        <w:rPr>
          <w:sz w:val="22"/>
          <w:szCs w:val="22"/>
        </w:rPr>
        <w:t xml:space="preserve"> </w:t>
      </w:r>
      <w:r w:rsidR="00FC41F9" w:rsidRPr="00FC41F9">
        <w:rPr>
          <w:sz w:val="22"/>
          <w:szCs w:val="22"/>
        </w:rPr>
        <w:t>PwC</w:t>
      </w:r>
      <w:r>
        <w:rPr>
          <w:sz w:val="22"/>
          <w:szCs w:val="22"/>
        </w:rPr>
        <w:t xml:space="preserve"> on </w:t>
      </w:r>
      <w:r w:rsidR="00FC41F9" w:rsidRPr="00FC41F9">
        <w:rPr>
          <w:sz w:val="22"/>
          <w:szCs w:val="22"/>
        </w:rPr>
        <w:t xml:space="preserve">the impacts for the LGPS of an increased number of academies. The final report is expected in March 2017. Further details of the Board’s discussions can be found </w:t>
      </w:r>
      <w:hyperlink r:id="rId19" w:history="1">
        <w:r w:rsidR="00FC41F9" w:rsidRPr="00FC41F9">
          <w:rPr>
            <w:rStyle w:val="Hyperlink"/>
            <w:sz w:val="22"/>
            <w:szCs w:val="22"/>
          </w:rPr>
          <w:t>on their website</w:t>
        </w:r>
      </w:hyperlink>
      <w:r w:rsidR="00FC41F9" w:rsidRPr="00FC41F9">
        <w:rPr>
          <w:sz w:val="22"/>
          <w:szCs w:val="22"/>
        </w:rPr>
        <w:t>.</w:t>
      </w:r>
    </w:p>
    <w:p w14:paraId="0D6AD0AB" w14:textId="34FDD97D" w:rsidR="00FC41F9" w:rsidRDefault="00FC41F9" w:rsidP="00DB5ACD">
      <w:pPr>
        <w:pStyle w:val="Default"/>
        <w:rPr>
          <w:color w:val="auto"/>
          <w:sz w:val="22"/>
          <w:szCs w:val="22"/>
        </w:rPr>
      </w:pPr>
    </w:p>
    <w:tbl>
      <w:tblPr>
        <w:tblW w:w="9464" w:type="dxa"/>
        <w:tblLook w:val="01E0" w:firstRow="1" w:lastRow="1" w:firstColumn="1" w:lastColumn="1" w:noHBand="0" w:noVBand="0"/>
      </w:tblPr>
      <w:tblGrid>
        <w:gridCol w:w="2376"/>
        <w:gridCol w:w="7088"/>
      </w:tblGrid>
      <w:tr w:rsidR="003D3D3F" w:rsidRPr="009F7920" w14:paraId="04DD96AC" w14:textId="77777777" w:rsidTr="0018664A">
        <w:trPr>
          <w:trHeight w:val="207"/>
        </w:trPr>
        <w:tc>
          <w:tcPr>
            <w:tcW w:w="2376" w:type="dxa"/>
            <w:shd w:val="clear" w:color="auto" w:fill="auto"/>
          </w:tcPr>
          <w:p w14:paraId="15E997D9" w14:textId="77777777" w:rsidR="003D3D3F" w:rsidRPr="009F7920" w:rsidRDefault="003D3D3F" w:rsidP="00EF2AE7">
            <w:pPr>
              <w:spacing w:after="0" w:line="276" w:lineRule="auto"/>
              <w:rPr>
                <w:rFonts w:eastAsia="Times New Roman"/>
                <w:b/>
                <w:lang w:eastAsia="en-GB"/>
              </w:rPr>
            </w:pPr>
            <w:r w:rsidRPr="009F7920">
              <w:rPr>
                <w:rFonts w:eastAsia="Times New Roman"/>
                <w:b/>
                <w:lang w:eastAsia="en-GB"/>
              </w:rPr>
              <w:t>Contact Officer:</w:t>
            </w:r>
          </w:p>
        </w:tc>
        <w:tc>
          <w:tcPr>
            <w:tcW w:w="7088" w:type="dxa"/>
            <w:shd w:val="clear" w:color="auto" w:fill="auto"/>
          </w:tcPr>
          <w:p w14:paraId="3D73219F" w14:textId="77777777" w:rsidR="003D3D3F" w:rsidRPr="009F7920" w:rsidRDefault="003D3D3F" w:rsidP="00EF2AE7">
            <w:pPr>
              <w:spacing w:after="0" w:line="276" w:lineRule="auto"/>
              <w:rPr>
                <w:rFonts w:eastAsia="Times New Roman"/>
                <w:lang w:eastAsia="en-GB"/>
              </w:rPr>
            </w:pPr>
            <w:r w:rsidRPr="009F7920">
              <w:rPr>
                <w:rFonts w:eastAsia="Times New Roman"/>
                <w:lang w:eastAsia="en-GB"/>
              </w:rPr>
              <w:t xml:space="preserve">Nicola Morton / Sarah Messenger / Rose Doran  </w:t>
            </w:r>
          </w:p>
        </w:tc>
      </w:tr>
      <w:tr w:rsidR="003D3D3F" w:rsidRPr="009F7920" w14:paraId="036C8AAD" w14:textId="77777777" w:rsidTr="0018664A">
        <w:tc>
          <w:tcPr>
            <w:tcW w:w="2376" w:type="dxa"/>
            <w:shd w:val="clear" w:color="auto" w:fill="auto"/>
          </w:tcPr>
          <w:p w14:paraId="43EA0A05" w14:textId="77777777" w:rsidR="003D3D3F" w:rsidRPr="009F7920" w:rsidRDefault="003D3D3F" w:rsidP="00EF2AE7">
            <w:pPr>
              <w:spacing w:after="0" w:line="276" w:lineRule="auto"/>
              <w:rPr>
                <w:rFonts w:eastAsia="Times New Roman"/>
                <w:b/>
                <w:lang w:eastAsia="en-GB"/>
              </w:rPr>
            </w:pPr>
            <w:r w:rsidRPr="009F7920">
              <w:rPr>
                <w:rFonts w:eastAsia="Times New Roman"/>
                <w:b/>
                <w:lang w:eastAsia="en-GB"/>
              </w:rPr>
              <w:t>Position:</w:t>
            </w:r>
          </w:p>
        </w:tc>
        <w:tc>
          <w:tcPr>
            <w:tcW w:w="7088" w:type="dxa"/>
            <w:shd w:val="clear" w:color="auto" w:fill="auto"/>
          </w:tcPr>
          <w:p w14:paraId="048F2AE0" w14:textId="77777777" w:rsidR="003D3D3F" w:rsidRPr="009F7920" w:rsidRDefault="003D3D3F" w:rsidP="00EF2AE7">
            <w:pPr>
              <w:spacing w:after="0" w:line="276" w:lineRule="auto"/>
              <w:rPr>
                <w:rFonts w:eastAsia="Times New Roman"/>
                <w:lang w:eastAsia="en-GB"/>
              </w:rPr>
            </w:pPr>
            <w:r w:rsidRPr="009F7920">
              <w:rPr>
                <w:rFonts w:eastAsia="Times New Roman"/>
                <w:lang w:eastAsia="en-GB"/>
              </w:rPr>
              <w:t>Heads of Programmes / Senior Advisor</w:t>
            </w:r>
          </w:p>
        </w:tc>
      </w:tr>
      <w:tr w:rsidR="003D3D3F" w:rsidRPr="009F7920" w14:paraId="36882833" w14:textId="77777777" w:rsidTr="0018664A">
        <w:tc>
          <w:tcPr>
            <w:tcW w:w="2376" w:type="dxa"/>
            <w:shd w:val="clear" w:color="auto" w:fill="auto"/>
          </w:tcPr>
          <w:p w14:paraId="7610C445" w14:textId="77777777" w:rsidR="003D3D3F" w:rsidRPr="009F7920" w:rsidRDefault="003D3D3F" w:rsidP="00EF2AE7">
            <w:pPr>
              <w:spacing w:after="0" w:line="276" w:lineRule="auto"/>
              <w:rPr>
                <w:rFonts w:eastAsia="Times New Roman"/>
                <w:b/>
                <w:lang w:eastAsia="en-GB"/>
              </w:rPr>
            </w:pPr>
            <w:r w:rsidRPr="009F7920">
              <w:rPr>
                <w:rFonts w:eastAsia="Times New Roman"/>
                <w:b/>
                <w:lang w:eastAsia="en-GB"/>
              </w:rPr>
              <w:t>Phone no:</w:t>
            </w:r>
          </w:p>
        </w:tc>
        <w:tc>
          <w:tcPr>
            <w:tcW w:w="7088" w:type="dxa"/>
            <w:shd w:val="clear" w:color="auto" w:fill="auto"/>
          </w:tcPr>
          <w:p w14:paraId="7C467875" w14:textId="77777777" w:rsidR="003D3D3F" w:rsidRPr="009F7920" w:rsidRDefault="003D3D3F" w:rsidP="00EF2AE7">
            <w:pPr>
              <w:spacing w:after="0" w:line="276" w:lineRule="auto"/>
              <w:rPr>
                <w:rFonts w:eastAsia="Times New Roman"/>
                <w:lang w:eastAsia="en-GB"/>
              </w:rPr>
            </w:pPr>
            <w:r w:rsidRPr="009F7920">
              <w:rPr>
                <w:rFonts w:eastAsia="Times New Roman"/>
                <w:lang w:eastAsia="en-GB"/>
              </w:rPr>
              <w:t xml:space="preserve">020 664 3109 / 020 7664 7342 / 020 7664 3073 </w:t>
            </w:r>
          </w:p>
        </w:tc>
      </w:tr>
      <w:tr w:rsidR="003D3D3F" w:rsidRPr="009F7920" w14:paraId="69A8054D" w14:textId="77777777" w:rsidTr="0018664A">
        <w:trPr>
          <w:trHeight w:val="166"/>
        </w:trPr>
        <w:tc>
          <w:tcPr>
            <w:tcW w:w="2376" w:type="dxa"/>
            <w:shd w:val="clear" w:color="auto" w:fill="auto"/>
          </w:tcPr>
          <w:p w14:paraId="207B0492" w14:textId="77777777" w:rsidR="003D3D3F" w:rsidRPr="009F7920" w:rsidRDefault="003D3D3F" w:rsidP="00EF2AE7">
            <w:pPr>
              <w:spacing w:after="0" w:line="276" w:lineRule="auto"/>
              <w:rPr>
                <w:rFonts w:eastAsia="Times New Roman"/>
                <w:b/>
                <w:lang w:eastAsia="en-GB"/>
              </w:rPr>
            </w:pPr>
            <w:r w:rsidRPr="009F7920">
              <w:rPr>
                <w:rFonts w:eastAsia="Times New Roman"/>
                <w:b/>
                <w:lang w:eastAsia="en-GB"/>
              </w:rPr>
              <w:t>E-mail:</w:t>
            </w:r>
          </w:p>
        </w:tc>
        <w:tc>
          <w:tcPr>
            <w:tcW w:w="7088" w:type="dxa"/>
            <w:shd w:val="clear" w:color="auto" w:fill="auto"/>
          </w:tcPr>
          <w:p w14:paraId="2A6B18ED" w14:textId="77777777" w:rsidR="003D3D3F" w:rsidRPr="009F7920" w:rsidRDefault="00EF2AE7" w:rsidP="00EF2AE7">
            <w:pPr>
              <w:spacing w:after="0" w:line="276" w:lineRule="auto"/>
              <w:rPr>
                <w:rFonts w:eastAsia="Times New Roman"/>
                <w:lang w:eastAsia="en-GB"/>
              </w:rPr>
            </w:pPr>
            <w:hyperlink r:id="rId20" w:history="1">
              <w:r w:rsidR="003D3D3F" w:rsidRPr="009F7920">
                <w:rPr>
                  <w:rFonts w:eastAsia="Times New Roman"/>
                  <w:color w:val="1181C1"/>
                  <w:u w:val="single"/>
                  <w:lang w:eastAsia="en-GB"/>
                </w:rPr>
                <w:t>Nicola.Morton@local.gov.uk</w:t>
              </w:r>
            </w:hyperlink>
            <w:r w:rsidR="003D3D3F" w:rsidRPr="009F7920">
              <w:rPr>
                <w:rFonts w:eastAsia="Times New Roman"/>
                <w:lang w:eastAsia="en-GB"/>
              </w:rPr>
              <w:t xml:space="preserve"> / </w:t>
            </w:r>
            <w:hyperlink r:id="rId21" w:history="1">
              <w:r w:rsidR="003D3D3F" w:rsidRPr="009F7920">
                <w:rPr>
                  <w:rFonts w:eastAsia="Times New Roman"/>
                  <w:color w:val="1181C1"/>
                  <w:u w:val="single"/>
                  <w:lang w:eastAsia="en-GB"/>
                </w:rPr>
                <w:t>Sarah.Messenger@local.gov.uk</w:t>
              </w:r>
            </w:hyperlink>
            <w:r w:rsidR="003D3D3F" w:rsidRPr="009F7920">
              <w:rPr>
                <w:rFonts w:eastAsia="Times New Roman"/>
                <w:lang w:eastAsia="en-GB"/>
              </w:rPr>
              <w:t xml:space="preserve"> /  </w:t>
            </w:r>
            <w:hyperlink r:id="rId22" w:history="1">
              <w:r w:rsidR="003D3D3F" w:rsidRPr="009F7920">
                <w:rPr>
                  <w:rFonts w:eastAsia="Times New Roman"/>
                  <w:color w:val="1181C1"/>
                  <w:u w:val="single"/>
                  <w:lang w:eastAsia="en-GB"/>
                </w:rPr>
                <w:t>Rose.Doran@local.gov.uk</w:t>
              </w:r>
            </w:hyperlink>
            <w:r w:rsidR="003D3D3F" w:rsidRPr="009F7920">
              <w:rPr>
                <w:rFonts w:eastAsia="Times New Roman"/>
                <w:lang w:eastAsia="en-GB"/>
              </w:rPr>
              <w:t xml:space="preserve"> </w:t>
            </w:r>
          </w:p>
        </w:tc>
      </w:tr>
    </w:tbl>
    <w:p w14:paraId="02361DC9" w14:textId="77777777" w:rsidR="00FB59A6" w:rsidRPr="009F7920" w:rsidRDefault="00FB59A6" w:rsidP="00BF6F37">
      <w:pPr>
        <w:spacing w:after="0" w:line="240" w:lineRule="auto"/>
      </w:pPr>
      <w:bookmarkStart w:id="0" w:name="_GoBack"/>
      <w:bookmarkEnd w:id="0"/>
    </w:p>
    <w:sectPr w:rsidR="00FB59A6" w:rsidRPr="009F7920" w:rsidSect="00112180">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8805" w14:textId="77777777" w:rsidR="00473BED" w:rsidRDefault="00473BED" w:rsidP="00C97AFA">
      <w:pPr>
        <w:spacing w:after="0" w:line="240" w:lineRule="auto"/>
      </w:pPr>
      <w:r>
        <w:separator/>
      </w:r>
    </w:p>
  </w:endnote>
  <w:endnote w:type="continuationSeparator" w:id="0">
    <w:p w14:paraId="36FB2CEC" w14:textId="77777777" w:rsidR="00473BED" w:rsidRDefault="00473BED" w:rsidP="00C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87B4" w14:textId="77777777" w:rsidR="00473BED" w:rsidRDefault="00473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0691" w14:textId="77777777" w:rsidR="00473BED" w:rsidRDefault="00473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AF57" w14:textId="77777777" w:rsidR="00473BED" w:rsidRDefault="0047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88A1" w14:textId="77777777" w:rsidR="00473BED" w:rsidRDefault="00473BED" w:rsidP="00C97AFA">
      <w:pPr>
        <w:spacing w:after="0" w:line="240" w:lineRule="auto"/>
      </w:pPr>
      <w:r>
        <w:separator/>
      </w:r>
    </w:p>
  </w:footnote>
  <w:footnote w:type="continuationSeparator" w:id="0">
    <w:p w14:paraId="2873561B" w14:textId="77777777" w:rsidR="00473BED" w:rsidRDefault="00473BED" w:rsidP="00C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8FD0" w14:textId="77777777" w:rsidR="00473BED" w:rsidRDefault="00473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411"/>
      <w:gridCol w:w="4227"/>
    </w:tblGrid>
    <w:tr w:rsidR="00473BED" w:rsidRPr="00284AE7" w14:paraId="29BB6F7B" w14:textId="77777777" w:rsidTr="008F51CF">
      <w:tc>
        <w:tcPr>
          <w:tcW w:w="5529" w:type="dxa"/>
          <w:vMerge w:val="restart"/>
        </w:tcPr>
        <w:p w14:paraId="4FBCB3AB" w14:textId="7E696890" w:rsidR="00473BED" w:rsidRPr="00284AE7" w:rsidRDefault="00473BED" w:rsidP="00284AE7">
          <w:pPr>
            <w:tabs>
              <w:tab w:val="center" w:pos="4153"/>
              <w:tab w:val="right" w:pos="8306"/>
            </w:tabs>
            <w:spacing w:after="0" w:line="240" w:lineRule="auto"/>
            <w:rPr>
              <w:rFonts w:eastAsia="Times New Roman"/>
              <w:b/>
              <w:lang w:eastAsia="en-GB"/>
            </w:rPr>
          </w:pPr>
          <w:r w:rsidRPr="00284AE7">
            <w:rPr>
              <w:rFonts w:eastAsia="Times New Roman"/>
              <w:b/>
              <w:noProof/>
              <w:lang w:eastAsia="en-GB"/>
            </w:rPr>
            <w:drawing>
              <wp:inline distT="0" distB="0" distL="0" distR="0" wp14:anchorId="28513DCD" wp14:editId="0041FBE6">
                <wp:extent cx="1238250" cy="7429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p w14:paraId="15458AEE" w14:textId="77777777" w:rsidR="00473BED" w:rsidRPr="00284AE7" w:rsidRDefault="00473BED" w:rsidP="00284AE7">
          <w:pPr>
            <w:tabs>
              <w:tab w:val="center" w:pos="4153"/>
              <w:tab w:val="right" w:pos="8306"/>
            </w:tabs>
            <w:spacing w:after="0" w:line="240" w:lineRule="auto"/>
            <w:rPr>
              <w:rFonts w:eastAsia="Times New Roman"/>
              <w:b/>
              <w:lang w:eastAsia="en-GB"/>
            </w:rPr>
          </w:pPr>
        </w:p>
      </w:tc>
      <w:tc>
        <w:tcPr>
          <w:tcW w:w="4326" w:type="dxa"/>
        </w:tcPr>
        <w:p w14:paraId="27EF7DD7" w14:textId="59E27918" w:rsidR="00473BED" w:rsidRPr="00284AE7" w:rsidRDefault="00473BED" w:rsidP="00284AE7">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b/>
              <w:lang w:eastAsia="en-GB"/>
            </w:rPr>
            <w:t xml:space="preserve">                      </w:t>
          </w:r>
          <w:r w:rsidRPr="00284AE7">
            <w:rPr>
              <w:rFonts w:eastAsia="Times New Roman"/>
              <w:b/>
              <w:lang w:eastAsia="en-GB"/>
            </w:rPr>
            <w:t xml:space="preserve">Councillors’ Forum </w:t>
          </w:r>
        </w:p>
      </w:tc>
    </w:tr>
    <w:tr w:rsidR="00473BED" w:rsidRPr="00284AE7" w14:paraId="53BDC34D" w14:textId="77777777" w:rsidTr="008F51CF">
      <w:trPr>
        <w:trHeight w:val="80"/>
      </w:trPr>
      <w:tc>
        <w:tcPr>
          <w:tcW w:w="5529" w:type="dxa"/>
          <w:vMerge/>
        </w:tcPr>
        <w:p w14:paraId="16B09B60" w14:textId="77777777" w:rsidR="00473BED" w:rsidRPr="00284AE7" w:rsidRDefault="00473BED"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tcPr>
        <w:p w14:paraId="1045759D" w14:textId="23BFAE39" w:rsidR="00473BED" w:rsidRPr="00284AE7" w:rsidRDefault="00473BED" w:rsidP="003C6B07">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lang w:eastAsia="en-GB"/>
            </w:rPr>
            <w:t xml:space="preserve">                      19 January 2017</w:t>
          </w:r>
        </w:p>
      </w:tc>
    </w:tr>
    <w:tr w:rsidR="00473BED" w:rsidRPr="00284AE7" w14:paraId="3B59D23F" w14:textId="77777777" w:rsidTr="008F51CF">
      <w:trPr>
        <w:trHeight w:val="372"/>
      </w:trPr>
      <w:tc>
        <w:tcPr>
          <w:tcW w:w="5529" w:type="dxa"/>
          <w:vMerge/>
        </w:tcPr>
        <w:p w14:paraId="31FA54D0" w14:textId="77777777" w:rsidR="00473BED" w:rsidRPr="00284AE7" w:rsidRDefault="00473BED"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vAlign w:val="bottom"/>
        </w:tcPr>
        <w:p w14:paraId="6B94825B" w14:textId="77777777" w:rsidR="00473BED" w:rsidRPr="00284AE7" w:rsidRDefault="00473BED" w:rsidP="00284AE7">
          <w:pPr>
            <w:tabs>
              <w:tab w:val="center" w:pos="4153"/>
              <w:tab w:val="right" w:pos="8306"/>
            </w:tabs>
            <w:spacing w:before="60" w:after="0" w:line="240" w:lineRule="auto"/>
            <w:rPr>
              <w:rFonts w:eastAsia="Times New Roman"/>
              <w:b/>
              <w:lang w:eastAsia="en-GB"/>
            </w:rPr>
          </w:pPr>
          <w:r w:rsidRPr="00284AE7">
            <w:rPr>
              <w:rFonts w:eastAsia="Times New Roman"/>
              <w:b/>
              <w:lang w:eastAsia="en-GB"/>
            </w:rPr>
            <w:t xml:space="preserve"> </w:t>
          </w:r>
        </w:p>
      </w:tc>
    </w:tr>
  </w:tbl>
  <w:p w14:paraId="29EED47B" w14:textId="77777777" w:rsidR="00473BED" w:rsidRDefault="00473BED" w:rsidP="009F7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5837" w14:textId="77777777" w:rsidR="00473BED" w:rsidRDefault="00473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CF6"/>
    <w:multiLevelType w:val="hybridMultilevel"/>
    <w:tmpl w:val="463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8428A"/>
    <w:multiLevelType w:val="hybridMultilevel"/>
    <w:tmpl w:val="F73072AC"/>
    <w:lvl w:ilvl="0" w:tplc="B1CEC2BA">
      <w:start w:val="1"/>
      <w:numFmt w:val="decimal"/>
      <w:lvlText w:val="%1."/>
      <w:lvlJc w:val="left"/>
      <w:pPr>
        <w:ind w:left="360" w:hanging="360"/>
      </w:pPr>
      <w:rPr>
        <w:rFonts w:hint="default"/>
        <w:sz w:val="22"/>
        <w:szCs w:val="22"/>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DA499E"/>
    <w:multiLevelType w:val="hybridMultilevel"/>
    <w:tmpl w:val="E876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8" w15:restartNumberingAfterBreak="0">
    <w:nsid w:val="2F7C65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78B21B26"/>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1"/>
  </w:num>
  <w:num w:numId="5">
    <w:abstractNumId w:val="10"/>
  </w:num>
  <w:num w:numId="6">
    <w:abstractNumId w:val="5"/>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 w:numId="12">
    <w:abstractNumId w:val="12"/>
  </w:num>
  <w:num w:numId="13">
    <w:abstractNumId w:val="3"/>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1E8C"/>
    <w:rsid w:val="00003574"/>
    <w:rsid w:val="00006616"/>
    <w:rsid w:val="00007132"/>
    <w:rsid w:val="0001675F"/>
    <w:rsid w:val="00032B75"/>
    <w:rsid w:val="00035136"/>
    <w:rsid w:val="00046D02"/>
    <w:rsid w:val="0004775F"/>
    <w:rsid w:val="00047DFB"/>
    <w:rsid w:val="0005353C"/>
    <w:rsid w:val="00064FD7"/>
    <w:rsid w:val="000713E0"/>
    <w:rsid w:val="00076F61"/>
    <w:rsid w:val="00080937"/>
    <w:rsid w:val="00083E0A"/>
    <w:rsid w:val="000936F1"/>
    <w:rsid w:val="00095A0A"/>
    <w:rsid w:val="000A160D"/>
    <w:rsid w:val="000A6BB9"/>
    <w:rsid w:val="000A6F1E"/>
    <w:rsid w:val="000B6B4C"/>
    <w:rsid w:val="000C0E2F"/>
    <w:rsid w:val="000C596B"/>
    <w:rsid w:val="000D2F41"/>
    <w:rsid w:val="000D4490"/>
    <w:rsid w:val="000F3B42"/>
    <w:rsid w:val="000F65A2"/>
    <w:rsid w:val="00101ECC"/>
    <w:rsid w:val="001029A6"/>
    <w:rsid w:val="00112180"/>
    <w:rsid w:val="00114BD6"/>
    <w:rsid w:val="0011758D"/>
    <w:rsid w:val="00124C34"/>
    <w:rsid w:val="0012567B"/>
    <w:rsid w:val="0014205A"/>
    <w:rsid w:val="0015071D"/>
    <w:rsid w:val="00150B84"/>
    <w:rsid w:val="00151F6D"/>
    <w:rsid w:val="001643F7"/>
    <w:rsid w:val="00165D96"/>
    <w:rsid w:val="00166923"/>
    <w:rsid w:val="00166FB1"/>
    <w:rsid w:val="00176D2F"/>
    <w:rsid w:val="0018664A"/>
    <w:rsid w:val="00190B68"/>
    <w:rsid w:val="00190F60"/>
    <w:rsid w:val="0019299F"/>
    <w:rsid w:val="00193CA7"/>
    <w:rsid w:val="00195F16"/>
    <w:rsid w:val="001A0848"/>
    <w:rsid w:val="001A1AF4"/>
    <w:rsid w:val="001B53F1"/>
    <w:rsid w:val="001B5FC2"/>
    <w:rsid w:val="001B64E4"/>
    <w:rsid w:val="001B7200"/>
    <w:rsid w:val="001B76BD"/>
    <w:rsid w:val="001C3209"/>
    <w:rsid w:val="001C6782"/>
    <w:rsid w:val="001D6915"/>
    <w:rsid w:val="001D6CE0"/>
    <w:rsid w:val="001E38C5"/>
    <w:rsid w:val="001E7204"/>
    <w:rsid w:val="001F4783"/>
    <w:rsid w:val="001F5EEE"/>
    <w:rsid w:val="0020427C"/>
    <w:rsid w:val="002109C0"/>
    <w:rsid w:val="00221C63"/>
    <w:rsid w:val="002222B5"/>
    <w:rsid w:val="0023518E"/>
    <w:rsid w:val="00236BCD"/>
    <w:rsid w:val="00240078"/>
    <w:rsid w:val="00250DDA"/>
    <w:rsid w:val="0025737B"/>
    <w:rsid w:val="00264B24"/>
    <w:rsid w:val="002671A2"/>
    <w:rsid w:val="00267F57"/>
    <w:rsid w:val="00272A2B"/>
    <w:rsid w:val="002814E1"/>
    <w:rsid w:val="00284AE7"/>
    <w:rsid w:val="002922DA"/>
    <w:rsid w:val="00293670"/>
    <w:rsid w:val="0029698E"/>
    <w:rsid w:val="002A0AAB"/>
    <w:rsid w:val="002A2ED6"/>
    <w:rsid w:val="002A3179"/>
    <w:rsid w:val="002A558B"/>
    <w:rsid w:val="002A6726"/>
    <w:rsid w:val="002B4474"/>
    <w:rsid w:val="002C0B2A"/>
    <w:rsid w:val="002C14A9"/>
    <w:rsid w:val="002C3648"/>
    <w:rsid w:val="002C4CA2"/>
    <w:rsid w:val="002C65BE"/>
    <w:rsid w:val="002D7A12"/>
    <w:rsid w:val="002E7409"/>
    <w:rsid w:val="002F11DF"/>
    <w:rsid w:val="003048E3"/>
    <w:rsid w:val="00313166"/>
    <w:rsid w:val="00314782"/>
    <w:rsid w:val="00316993"/>
    <w:rsid w:val="0032440C"/>
    <w:rsid w:val="003353F1"/>
    <w:rsid w:val="00340FDD"/>
    <w:rsid w:val="00342213"/>
    <w:rsid w:val="00342C26"/>
    <w:rsid w:val="00346B4E"/>
    <w:rsid w:val="00351355"/>
    <w:rsid w:val="00351506"/>
    <w:rsid w:val="003561CE"/>
    <w:rsid w:val="003566D6"/>
    <w:rsid w:val="00357E07"/>
    <w:rsid w:val="00362D15"/>
    <w:rsid w:val="00381394"/>
    <w:rsid w:val="0038771F"/>
    <w:rsid w:val="00391F80"/>
    <w:rsid w:val="00393D81"/>
    <w:rsid w:val="0039715B"/>
    <w:rsid w:val="003A2E16"/>
    <w:rsid w:val="003B5F0F"/>
    <w:rsid w:val="003B772B"/>
    <w:rsid w:val="003C1165"/>
    <w:rsid w:val="003C55BA"/>
    <w:rsid w:val="003C6B07"/>
    <w:rsid w:val="003C72F8"/>
    <w:rsid w:val="003D3D3F"/>
    <w:rsid w:val="003E1E6F"/>
    <w:rsid w:val="003E325C"/>
    <w:rsid w:val="003E381E"/>
    <w:rsid w:val="00405AA9"/>
    <w:rsid w:val="0040668F"/>
    <w:rsid w:val="00406E85"/>
    <w:rsid w:val="004112E2"/>
    <w:rsid w:val="00414EC2"/>
    <w:rsid w:val="0042019B"/>
    <w:rsid w:val="004208B1"/>
    <w:rsid w:val="00450FF5"/>
    <w:rsid w:val="00460C9C"/>
    <w:rsid w:val="00466AFF"/>
    <w:rsid w:val="004673AE"/>
    <w:rsid w:val="00473816"/>
    <w:rsid w:val="00473BED"/>
    <w:rsid w:val="004756A7"/>
    <w:rsid w:val="00480880"/>
    <w:rsid w:val="00482499"/>
    <w:rsid w:val="004826B9"/>
    <w:rsid w:val="00483A51"/>
    <w:rsid w:val="00490D8E"/>
    <w:rsid w:val="00491665"/>
    <w:rsid w:val="00493FA5"/>
    <w:rsid w:val="00497483"/>
    <w:rsid w:val="004A244C"/>
    <w:rsid w:val="004A42B8"/>
    <w:rsid w:val="004A6ED8"/>
    <w:rsid w:val="004C0406"/>
    <w:rsid w:val="004C1DD8"/>
    <w:rsid w:val="004C2578"/>
    <w:rsid w:val="004C34A0"/>
    <w:rsid w:val="004C7212"/>
    <w:rsid w:val="004E1A55"/>
    <w:rsid w:val="004E60C1"/>
    <w:rsid w:val="004F14FF"/>
    <w:rsid w:val="004F3379"/>
    <w:rsid w:val="005010C8"/>
    <w:rsid w:val="005015A6"/>
    <w:rsid w:val="00507E7C"/>
    <w:rsid w:val="00507F7E"/>
    <w:rsid w:val="00511019"/>
    <w:rsid w:val="005114A4"/>
    <w:rsid w:val="00533215"/>
    <w:rsid w:val="00535DC4"/>
    <w:rsid w:val="0054150B"/>
    <w:rsid w:val="0054579E"/>
    <w:rsid w:val="005462E7"/>
    <w:rsid w:val="00546E23"/>
    <w:rsid w:val="005504CA"/>
    <w:rsid w:val="005524E8"/>
    <w:rsid w:val="00554E17"/>
    <w:rsid w:val="005625FC"/>
    <w:rsid w:val="00563C23"/>
    <w:rsid w:val="00572EA5"/>
    <w:rsid w:val="00573194"/>
    <w:rsid w:val="00577450"/>
    <w:rsid w:val="005840D2"/>
    <w:rsid w:val="00586A2F"/>
    <w:rsid w:val="00586B70"/>
    <w:rsid w:val="0059353E"/>
    <w:rsid w:val="005A3AF8"/>
    <w:rsid w:val="005A4BC0"/>
    <w:rsid w:val="005A529C"/>
    <w:rsid w:val="005A79F4"/>
    <w:rsid w:val="005B01A4"/>
    <w:rsid w:val="005B1619"/>
    <w:rsid w:val="005B2F00"/>
    <w:rsid w:val="005B471E"/>
    <w:rsid w:val="005C267A"/>
    <w:rsid w:val="005C378B"/>
    <w:rsid w:val="005C597B"/>
    <w:rsid w:val="005C6865"/>
    <w:rsid w:val="005D2110"/>
    <w:rsid w:val="005E1EB4"/>
    <w:rsid w:val="005E7E47"/>
    <w:rsid w:val="005F0BE7"/>
    <w:rsid w:val="00614060"/>
    <w:rsid w:val="00615320"/>
    <w:rsid w:val="00622F80"/>
    <w:rsid w:val="00623954"/>
    <w:rsid w:val="00627CF3"/>
    <w:rsid w:val="00640090"/>
    <w:rsid w:val="0064552E"/>
    <w:rsid w:val="006605A5"/>
    <w:rsid w:val="006605D4"/>
    <w:rsid w:val="00665AF9"/>
    <w:rsid w:val="0067372F"/>
    <w:rsid w:val="00673F92"/>
    <w:rsid w:val="00695B13"/>
    <w:rsid w:val="006B772D"/>
    <w:rsid w:val="006D012F"/>
    <w:rsid w:val="006D661D"/>
    <w:rsid w:val="006E4256"/>
    <w:rsid w:val="006E47AA"/>
    <w:rsid w:val="006E5B3A"/>
    <w:rsid w:val="006F111F"/>
    <w:rsid w:val="006F7AD6"/>
    <w:rsid w:val="0070203C"/>
    <w:rsid w:val="0070344A"/>
    <w:rsid w:val="00704AEB"/>
    <w:rsid w:val="00712406"/>
    <w:rsid w:val="00722D80"/>
    <w:rsid w:val="007334F3"/>
    <w:rsid w:val="0073710D"/>
    <w:rsid w:val="007414C5"/>
    <w:rsid w:val="00742C4C"/>
    <w:rsid w:val="007462F6"/>
    <w:rsid w:val="00746DEE"/>
    <w:rsid w:val="00747961"/>
    <w:rsid w:val="00755F00"/>
    <w:rsid w:val="00756BCA"/>
    <w:rsid w:val="007605A1"/>
    <w:rsid w:val="00763428"/>
    <w:rsid w:val="0076749C"/>
    <w:rsid w:val="00774458"/>
    <w:rsid w:val="007829C7"/>
    <w:rsid w:val="007A2823"/>
    <w:rsid w:val="007A557A"/>
    <w:rsid w:val="007A6BD3"/>
    <w:rsid w:val="007B49A3"/>
    <w:rsid w:val="007C12DF"/>
    <w:rsid w:val="007C17D5"/>
    <w:rsid w:val="007C19E8"/>
    <w:rsid w:val="007D12EA"/>
    <w:rsid w:val="007D77DD"/>
    <w:rsid w:val="007E2E15"/>
    <w:rsid w:val="007E7CB9"/>
    <w:rsid w:val="007F28B2"/>
    <w:rsid w:val="00802516"/>
    <w:rsid w:val="00804188"/>
    <w:rsid w:val="00816891"/>
    <w:rsid w:val="00821F44"/>
    <w:rsid w:val="008246D9"/>
    <w:rsid w:val="00831500"/>
    <w:rsid w:val="00831A74"/>
    <w:rsid w:val="008472DB"/>
    <w:rsid w:val="00847A88"/>
    <w:rsid w:val="00847ACE"/>
    <w:rsid w:val="008721AE"/>
    <w:rsid w:val="00872991"/>
    <w:rsid w:val="0087703A"/>
    <w:rsid w:val="00881154"/>
    <w:rsid w:val="00881B80"/>
    <w:rsid w:val="008844C0"/>
    <w:rsid w:val="0089331B"/>
    <w:rsid w:val="008977C4"/>
    <w:rsid w:val="008A3EAE"/>
    <w:rsid w:val="008A6FFE"/>
    <w:rsid w:val="008B0EBD"/>
    <w:rsid w:val="008C17EE"/>
    <w:rsid w:val="008C2123"/>
    <w:rsid w:val="008E4501"/>
    <w:rsid w:val="008E5E40"/>
    <w:rsid w:val="008F160C"/>
    <w:rsid w:val="008F51CF"/>
    <w:rsid w:val="008F6D69"/>
    <w:rsid w:val="009021E7"/>
    <w:rsid w:val="009141CB"/>
    <w:rsid w:val="00915A46"/>
    <w:rsid w:val="00915DBB"/>
    <w:rsid w:val="00935E4C"/>
    <w:rsid w:val="00945401"/>
    <w:rsid w:val="00950402"/>
    <w:rsid w:val="009509F5"/>
    <w:rsid w:val="009543F0"/>
    <w:rsid w:val="0096183C"/>
    <w:rsid w:val="00974406"/>
    <w:rsid w:val="00980173"/>
    <w:rsid w:val="009900BF"/>
    <w:rsid w:val="0099023E"/>
    <w:rsid w:val="009A35CD"/>
    <w:rsid w:val="009A7530"/>
    <w:rsid w:val="009B339E"/>
    <w:rsid w:val="009B572D"/>
    <w:rsid w:val="009B675C"/>
    <w:rsid w:val="009D072D"/>
    <w:rsid w:val="009D1E25"/>
    <w:rsid w:val="009E613F"/>
    <w:rsid w:val="009E7DF1"/>
    <w:rsid w:val="009F7781"/>
    <w:rsid w:val="009F7920"/>
    <w:rsid w:val="00A018DE"/>
    <w:rsid w:val="00A03884"/>
    <w:rsid w:val="00A05B01"/>
    <w:rsid w:val="00A07785"/>
    <w:rsid w:val="00A165B6"/>
    <w:rsid w:val="00A25FDA"/>
    <w:rsid w:val="00A2637A"/>
    <w:rsid w:val="00A278BF"/>
    <w:rsid w:val="00A42705"/>
    <w:rsid w:val="00A45639"/>
    <w:rsid w:val="00A468BF"/>
    <w:rsid w:val="00A511B2"/>
    <w:rsid w:val="00A51359"/>
    <w:rsid w:val="00A57F47"/>
    <w:rsid w:val="00A606B4"/>
    <w:rsid w:val="00A60D2B"/>
    <w:rsid w:val="00A71299"/>
    <w:rsid w:val="00A71D4D"/>
    <w:rsid w:val="00A74487"/>
    <w:rsid w:val="00A8192C"/>
    <w:rsid w:val="00A904A1"/>
    <w:rsid w:val="00A907A9"/>
    <w:rsid w:val="00A9709C"/>
    <w:rsid w:val="00AA59B7"/>
    <w:rsid w:val="00AB49EC"/>
    <w:rsid w:val="00AB6E35"/>
    <w:rsid w:val="00AB6E41"/>
    <w:rsid w:val="00AE2515"/>
    <w:rsid w:val="00AE41EB"/>
    <w:rsid w:val="00AF0009"/>
    <w:rsid w:val="00B0308F"/>
    <w:rsid w:val="00B04478"/>
    <w:rsid w:val="00B048F3"/>
    <w:rsid w:val="00B04DFC"/>
    <w:rsid w:val="00B11CFD"/>
    <w:rsid w:val="00B1503D"/>
    <w:rsid w:val="00B2510C"/>
    <w:rsid w:val="00B2709B"/>
    <w:rsid w:val="00B33388"/>
    <w:rsid w:val="00B341A5"/>
    <w:rsid w:val="00B43977"/>
    <w:rsid w:val="00B63FB3"/>
    <w:rsid w:val="00B643F1"/>
    <w:rsid w:val="00B64AE2"/>
    <w:rsid w:val="00B80C53"/>
    <w:rsid w:val="00B82960"/>
    <w:rsid w:val="00B85480"/>
    <w:rsid w:val="00B9090F"/>
    <w:rsid w:val="00B94ADE"/>
    <w:rsid w:val="00B9735D"/>
    <w:rsid w:val="00B97581"/>
    <w:rsid w:val="00BA5C36"/>
    <w:rsid w:val="00BA6094"/>
    <w:rsid w:val="00BB026D"/>
    <w:rsid w:val="00BB3C3A"/>
    <w:rsid w:val="00BB6673"/>
    <w:rsid w:val="00BB72E1"/>
    <w:rsid w:val="00BC06A4"/>
    <w:rsid w:val="00BE37D6"/>
    <w:rsid w:val="00BE6F0F"/>
    <w:rsid w:val="00BE7443"/>
    <w:rsid w:val="00BF59C2"/>
    <w:rsid w:val="00BF5AED"/>
    <w:rsid w:val="00BF6F37"/>
    <w:rsid w:val="00C037F4"/>
    <w:rsid w:val="00C04FAF"/>
    <w:rsid w:val="00C166DD"/>
    <w:rsid w:val="00C332B0"/>
    <w:rsid w:val="00C35EC4"/>
    <w:rsid w:val="00C54B9B"/>
    <w:rsid w:val="00C575C7"/>
    <w:rsid w:val="00C61DE4"/>
    <w:rsid w:val="00C71DE2"/>
    <w:rsid w:val="00C75323"/>
    <w:rsid w:val="00C808BB"/>
    <w:rsid w:val="00C810D4"/>
    <w:rsid w:val="00C853B1"/>
    <w:rsid w:val="00C91BE8"/>
    <w:rsid w:val="00C92F81"/>
    <w:rsid w:val="00C97AFA"/>
    <w:rsid w:val="00CA0CE7"/>
    <w:rsid w:val="00CB41A0"/>
    <w:rsid w:val="00CB5FDF"/>
    <w:rsid w:val="00CC0FC4"/>
    <w:rsid w:val="00CC52EA"/>
    <w:rsid w:val="00CC67F7"/>
    <w:rsid w:val="00CD04C8"/>
    <w:rsid w:val="00CD535C"/>
    <w:rsid w:val="00CE1EF5"/>
    <w:rsid w:val="00CF7778"/>
    <w:rsid w:val="00D0552A"/>
    <w:rsid w:val="00D16CFD"/>
    <w:rsid w:val="00D1717C"/>
    <w:rsid w:val="00D20F9A"/>
    <w:rsid w:val="00D21841"/>
    <w:rsid w:val="00D24520"/>
    <w:rsid w:val="00D25728"/>
    <w:rsid w:val="00D27D23"/>
    <w:rsid w:val="00D323AC"/>
    <w:rsid w:val="00D41266"/>
    <w:rsid w:val="00D4769C"/>
    <w:rsid w:val="00D478FA"/>
    <w:rsid w:val="00D64BEC"/>
    <w:rsid w:val="00D72BC0"/>
    <w:rsid w:val="00D812F8"/>
    <w:rsid w:val="00D81D4B"/>
    <w:rsid w:val="00D84EFA"/>
    <w:rsid w:val="00D9383E"/>
    <w:rsid w:val="00DB0068"/>
    <w:rsid w:val="00DB19AE"/>
    <w:rsid w:val="00DB1EB5"/>
    <w:rsid w:val="00DB302B"/>
    <w:rsid w:val="00DB48E4"/>
    <w:rsid w:val="00DB5ACD"/>
    <w:rsid w:val="00DC082A"/>
    <w:rsid w:val="00DC5C78"/>
    <w:rsid w:val="00DD105D"/>
    <w:rsid w:val="00DD3BFD"/>
    <w:rsid w:val="00DF0B4D"/>
    <w:rsid w:val="00DF162F"/>
    <w:rsid w:val="00E00B8F"/>
    <w:rsid w:val="00E046A3"/>
    <w:rsid w:val="00E1544E"/>
    <w:rsid w:val="00E15B3D"/>
    <w:rsid w:val="00E262FC"/>
    <w:rsid w:val="00E3089D"/>
    <w:rsid w:val="00E31817"/>
    <w:rsid w:val="00E37B12"/>
    <w:rsid w:val="00E45A3C"/>
    <w:rsid w:val="00E51655"/>
    <w:rsid w:val="00E54449"/>
    <w:rsid w:val="00E57BB5"/>
    <w:rsid w:val="00E61BBE"/>
    <w:rsid w:val="00E65C23"/>
    <w:rsid w:val="00E67B1A"/>
    <w:rsid w:val="00E71A16"/>
    <w:rsid w:val="00E728CB"/>
    <w:rsid w:val="00E7610C"/>
    <w:rsid w:val="00E77EFE"/>
    <w:rsid w:val="00E86BF0"/>
    <w:rsid w:val="00E87B0F"/>
    <w:rsid w:val="00E9362D"/>
    <w:rsid w:val="00EA6B89"/>
    <w:rsid w:val="00EB034D"/>
    <w:rsid w:val="00EB16C0"/>
    <w:rsid w:val="00ED1011"/>
    <w:rsid w:val="00ED37BC"/>
    <w:rsid w:val="00EE4C94"/>
    <w:rsid w:val="00EE4DA1"/>
    <w:rsid w:val="00EF2AE7"/>
    <w:rsid w:val="00F01F02"/>
    <w:rsid w:val="00F06B3B"/>
    <w:rsid w:val="00F117B7"/>
    <w:rsid w:val="00F11F4E"/>
    <w:rsid w:val="00F14375"/>
    <w:rsid w:val="00F1669A"/>
    <w:rsid w:val="00F179D3"/>
    <w:rsid w:val="00F22618"/>
    <w:rsid w:val="00F248C1"/>
    <w:rsid w:val="00F357FC"/>
    <w:rsid w:val="00F52C53"/>
    <w:rsid w:val="00F6029F"/>
    <w:rsid w:val="00F7073E"/>
    <w:rsid w:val="00F71389"/>
    <w:rsid w:val="00F73B20"/>
    <w:rsid w:val="00F77011"/>
    <w:rsid w:val="00F83A64"/>
    <w:rsid w:val="00F9280F"/>
    <w:rsid w:val="00F95A5C"/>
    <w:rsid w:val="00F97996"/>
    <w:rsid w:val="00FA6369"/>
    <w:rsid w:val="00FB14DA"/>
    <w:rsid w:val="00FB33F4"/>
    <w:rsid w:val="00FB3710"/>
    <w:rsid w:val="00FB59A6"/>
    <w:rsid w:val="00FC0643"/>
    <w:rsid w:val="00FC41F9"/>
    <w:rsid w:val="00FC5A15"/>
    <w:rsid w:val="00FE0C76"/>
    <w:rsid w:val="00FE4CE4"/>
    <w:rsid w:val="00FE7D4F"/>
    <w:rsid w:val="00FF511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34C6"/>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3518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50DDA"/>
    <w:rPr>
      <w:b/>
      <w:bCs/>
    </w:rPr>
  </w:style>
  <w:style w:type="character" w:customStyle="1" w:styleId="CommentSubjectChar">
    <w:name w:val="Comment Subject Char"/>
    <w:basedOn w:val="CommentTextChar"/>
    <w:link w:val="CommentSubject"/>
    <w:uiPriority w:val="99"/>
    <w:semiHidden/>
    <w:rsid w:val="00250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54245397">
      <w:bodyDiv w:val="1"/>
      <w:marLeft w:val="0"/>
      <w:marRight w:val="0"/>
      <w:marTop w:val="0"/>
      <w:marBottom w:val="0"/>
      <w:divBdr>
        <w:top w:val="none" w:sz="0" w:space="0" w:color="auto"/>
        <w:left w:val="none" w:sz="0" w:space="0" w:color="auto"/>
        <w:bottom w:val="none" w:sz="0" w:space="0" w:color="auto"/>
        <w:right w:val="none" w:sz="0" w:space="0" w:color="auto"/>
      </w:divBdr>
    </w:div>
    <w:div w:id="1255476527">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342858141">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web/guest/media-releases/-/journal_content/56/10180/8106439/NEWS" TargetMode="External"/><Relationship Id="rId18" Type="http://schemas.openxmlformats.org/officeDocument/2006/relationships/hyperlink" Target="http://data.parliament.uk/writtenevidence/committeeevidence.svc/evidencedocument/financial-exclusion-committee/financial-exclusion/oral/42508.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rah.Messenger@local.gov.uk" TargetMode="External"/><Relationship Id="rId7" Type="http://schemas.openxmlformats.org/officeDocument/2006/relationships/settings" Target="settings.xml"/><Relationship Id="rId12" Type="http://schemas.openxmlformats.org/officeDocument/2006/relationships/hyperlink" Target="https://www.gov.uk/government/collections/provisional-local-government-finance-settlement-england-2017-to-2018" TargetMode="External"/><Relationship Id="rId17" Type="http://schemas.openxmlformats.org/officeDocument/2006/relationships/hyperlink" Target="http://www.local.gov.uk/documents/10180/7632544/Consultation+on+the+transitional++arrangements+for+the++2017+revaluation+-+LGA+response.pdf/bcf2053c-8a6a-4e61-8493-f725dcab07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consultations/local-government-finance-settlement-2017-to-2018-technical-consultation" TargetMode="External"/><Relationship Id="rId20" Type="http://schemas.openxmlformats.org/officeDocument/2006/relationships/hyperlink" Target="mailto:Nicola.Morton@loca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cal.gov.uk/documents/10180/7991192/2016+Autumn+Statement+LGA+On+the+Day+Briefing.pdf/bcb66b43-944d-465d-8537-45f86b48acc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ocal.gov.uk/documents/10180/7632544/2017-18+LGFS+Technical+Consultation+-+LGA+Response+-++final.pdf/e2900a82-0623-477b-bfc9-34fc0507afd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gpsboard.org/index.php/board-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web/guest/briefings-and-responses/-/journal_content/56/10180/8107371/ARTICLE" TargetMode="External"/><Relationship Id="rId22" Type="http://schemas.openxmlformats.org/officeDocument/2006/relationships/hyperlink" Target="mailto:Rose.Doran@local.gov.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2.xml><?xml version="1.0" encoding="utf-8"?>
<ds:datastoreItem xmlns:ds="http://schemas.openxmlformats.org/officeDocument/2006/customXml" ds:itemID="{BCA1CE9F-740C-4976-8F8D-6307C300A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B3646-1F99-48DA-99B7-DA4C1D5B3656}">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1c8a0e75-f4bc-4eb4-8ed0-578eaea9e1ca"/>
    <ds:schemaRef ds:uri="http://purl.org/dc/dcmitype/"/>
    <ds:schemaRef ds:uri="http://schemas.microsoft.com/office/infopath/2007/PartnerControls"/>
    <ds:schemaRef ds:uri="c8febe6a-14d9-43ab-83c3-c48f478fa47c"/>
    <ds:schemaRef ds:uri="http://purl.org/dc/elements/1.1/"/>
  </ds:schemaRefs>
</ds:datastoreItem>
</file>

<file path=customXml/itemProps4.xml><?xml version="1.0" encoding="utf-8"?>
<ds:datastoreItem xmlns:ds="http://schemas.openxmlformats.org/officeDocument/2006/customXml" ds:itemID="{C91076C6-7719-4D1D-ACB4-616F0B5F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E5368C68</Template>
  <TotalTime>74</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Eleanor Reader-Moore</cp:lastModifiedBy>
  <cp:revision>166</cp:revision>
  <dcterms:created xsi:type="dcterms:W3CDTF">2017-01-06T14:07:00Z</dcterms:created>
  <dcterms:modified xsi:type="dcterms:W3CDTF">2017-01-13T13:04:00Z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